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F7" w:rsidRDefault="00E37AF7" w:rsidP="00527EC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Wymagania dokumentacyjne wobec kabli i przewodów elektrycznych </w:t>
      </w:r>
      <w:r w:rsidR="00F62DEC">
        <w:rPr>
          <w:b/>
          <w:sz w:val="36"/>
          <w:szCs w:val="36"/>
        </w:rPr>
        <w:t xml:space="preserve">wynikające z prawa UE </w:t>
      </w:r>
      <w:r>
        <w:rPr>
          <w:b/>
          <w:sz w:val="36"/>
          <w:szCs w:val="36"/>
        </w:rPr>
        <w:t xml:space="preserve">- stan prawny w Polsce </w:t>
      </w:r>
      <w:r w:rsidR="00846B46">
        <w:rPr>
          <w:b/>
          <w:sz w:val="36"/>
          <w:szCs w:val="36"/>
        </w:rPr>
        <w:t xml:space="preserve">rok </w:t>
      </w:r>
      <w:r>
        <w:rPr>
          <w:b/>
          <w:sz w:val="36"/>
          <w:szCs w:val="36"/>
        </w:rPr>
        <w:t>201</w:t>
      </w:r>
      <w:r w:rsidR="00846B4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</w:p>
    <w:p w:rsidR="001069A3" w:rsidRDefault="004C1295" w:rsidP="00F62DEC">
      <w:pPr>
        <w:jc w:val="center"/>
        <w:rPr>
          <w:b/>
          <w:sz w:val="36"/>
          <w:szCs w:val="36"/>
        </w:rPr>
      </w:pPr>
      <w:r w:rsidRPr="007513D8">
        <w:rPr>
          <w:b/>
          <w:sz w:val="36"/>
          <w:szCs w:val="36"/>
        </w:rPr>
        <w:t xml:space="preserve"> </w:t>
      </w:r>
    </w:p>
    <w:p w:rsidR="00F62DEC" w:rsidRPr="00E0163F" w:rsidRDefault="008E25B7" w:rsidP="00F62DEC">
      <w:pPr>
        <w:pStyle w:val="Akapitzlist"/>
        <w:numPr>
          <w:ilvl w:val="0"/>
          <w:numId w:val="1"/>
        </w:numPr>
        <w:spacing w:after="0" w:line="240" w:lineRule="auto"/>
        <w:ind w:left="340" w:hanging="340"/>
        <w:contextualSpacing w:val="0"/>
        <w:rPr>
          <w:b/>
          <w:sz w:val="28"/>
          <w:szCs w:val="28"/>
        </w:rPr>
      </w:pPr>
      <w:r w:rsidRPr="00E0163F">
        <w:rPr>
          <w:b/>
          <w:sz w:val="28"/>
          <w:szCs w:val="28"/>
        </w:rPr>
        <w:t>Kable i p</w:t>
      </w:r>
      <w:r w:rsidR="004C1295" w:rsidRPr="00E0163F">
        <w:rPr>
          <w:b/>
          <w:sz w:val="28"/>
          <w:szCs w:val="28"/>
        </w:rPr>
        <w:t xml:space="preserve">rzewody </w:t>
      </w:r>
      <w:r w:rsidR="006F1A87" w:rsidRPr="00E0163F">
        <w:rPr>
          <w:b/>
          <w:sz w:val="28"/>
          <w:szCs w:val="28"/>
        </w:rPr>
        <w:t xml:space="preserve">instalacyjne </w:t>
      </w:r>
      <w:r w:rsidRPr="00E0163F">
        <w:rPr>
          <w:b/>
          <w:sz w:val="28"/>
          <w:szCs w:val="28"/>
        </w:rPr>
        <w:t xml:space="preserve">na </w:t>
      </w:r>
      <w:r w:rsidR="0052459F" w:rsidRPr="00E0163F">
        <w:rPr>
          <w:b/>
          <w:sz w:val="28"/>
          <w:szCs w:val="28"/>
        </w:rPr>
        <w:t>zakres napięciowy 50-1000 V</w:t>
      </w:r>
      <w:r w:rsidRPr="00E0163F">
        <w:rPr>
          <w:b/>
          <w:sz w:val="28"/>
          <w:szCs w:val="28"/>
        </w:rPr>
        <w:t xml:space="preserve"> prądu przemiennego i 75-1500 V prądu stałego </w:t>
      </w:r>
    </w:p>
    <w:p w:rsidR="00F62DEC" w:rsidRPr="00E0163F" w:rsidRDefault="00F62DEC" w:rsidP="00F62DEC">
      <w:pPr>
        <w:spacing w:after="0" w:line="240" w:lineRule="auto"/>
        <w:ind w:left="-153"/>
        <w:rPr>
          <w:b/>
          <w:sz w:val="28"/>
          <w:szCs w:val="28"/>
        </w:rPr>
      </w:pPr>
      <w:r w:rsidRPr="00E0163F">
        <w:rPr>
          <w:b/>
          <w:sz w:val="28"/>
          <w:szCs w:val="28"/>
        </w:rPr>
        <w:t xml:space="preserve">       </w:t>
      </w:r>
      <w:r w:rsidR="00A83000" w:rsidRPr="00E0163F">
        <w:rPr>
          <w:b/>
          <w:sz w:val="28"/>
          <w:szCs w:val="28"/>
        </w:rPr>
        <w:t>K</w:t>
      </w:r>
      <w:r w:rsidR="00727E60" w:rsidRPr="00E0163F">
        <w:rPr>
          <w:b/>
          <w:sz w:val="28"/>
          <w:szCs w:val="28"/>
        </w:rPr>
        <w:t xml:space="preserve">able </w:t>
      </w:r>
      <w:r w:rsidR="006F1A87" w:rsidRPr="00E0163F">
        <w:rPr>
          <w:b/>
          <w:sz w:val="28"/>
          <w:szCs w:val="28"/>
        </w:rPr>
        <w:t xml:space="preserve">antenowe </w:t>
      </w:r>
      <w:r w:rsidR="00727E60" w:rsidRPr="00E0163F">
        <w:rPr>
          <w:b/>
          <w:sz w:val="28"/>
          <w:szCs w:val="28"/>
        </w:rPr>
        <w:t xml:space="preserve">współosiowe </w:t>
      </w:r>
    </w:p>
    <w:p w:rsidR="00727E60" w:rsidRPr="00E0163F" w:rsidRDefault="00F62DEC" w:rsidP="00F62DEC">
      <w:pPr>
        <w:spacing w:after="0" w:line="240" w:lineRule="auto"/>
        <w:ind w:left="-153"/>
        <w:rPr>
          <w:b/>
          <w:sz w:val="28"/>
          <w:szCs w:val="28"/>
        </w:rPr>
      </w:pPr>
      <w:r w:rsidRPr="00E0163F">
        <w:rPr>
          <w:b/>
          <w:sz w:val="28"/>
          <w:szCs w:val="28"/>
        </w:rPr>
        <w:t xml:space="preserve">       K</w:t>
      </w:r>
      <w:r w:rsidR="00727E60" w:rsidRPr="00E0163F">
        <w:rPr>
          <w:b/>
          <w:sz w:val="28"/>
          <w:szCs w:val="28"/>
        </w:rPr>
        <w:t>able telekomunikacyjne</w:t>
      </w:r>
      <w:r w:rsidRPr="00E0163F">
        <w:rPr>
          <w:b/>
          <w:sz w:val="28"/>
          <w:szCs w:val="28"/>
        </w:rPr>
        <w:t xml:space="preserve"> miedziane</w:t>
      </w:r>
    </w:p>
    <w:p w:rsidR="00FB21F7" w:rsidRDefault="00FB21F7" w:rsidP="00F62DEC">
      <w:pPr>
        <w:spacing w:after="0" w:line="240" w:lineRule="auto"/>
        <w:ind w:left="-153"/>
        <w:rPr>
          <w:b/>
          <w:sz w:val="32"/>
          <w:szCs w:val="32"/>
        </w:rPr>
      </w:pPr>
    </w:p>
    <w:p w:rsidR="00FB21F7" w:rsidRPr="00E0163F" w:rsidRDefault="00FB21F7" w:rsidP="00FB21F7">
      <w:pPr>
        <w:spacing w:line="240" w:lineRule="auto"/>
        <w:ind w:left="-153"/>
        <w:rPr>
          <w:sz w:val="24"/>
          <w:szCs w:val="24"/>
        </w:rPr>
      </w:pPr>
      <w:r w:rsidRPr="00E0163F">
        <w:rPr>
          <w:sz w:val="24"/>
          <w:szCs w:val="24"/>
        </w:rPr>
        <w:t>Obowiązują dyrektywy UE wdrożone do prawa polskiego Rozporządzeniami:</w:t>
      </w:r>
    </w:p>
    <w:p w:rsidR="00FB21F7" w:rsidRPr="00FB21F7" w:rsidRDefault="00FB21F7" w:rsidP="00FB21F7">
      <w:pPr>
        <w:numPr>
          <w:ilvl w:val="0"/>
          <w:numId w:val="3"/>
        </w:numPr>
        <w:spacing w:after="0" w:line="21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FB21F7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Dyrektywa niskonapięciowa </w:t>
      </w:r>
      <w:r w:rsidRPr="00FB21F7">
        <w:rPr>
          <w:rFonts w:eastAsiaTheme="minorEastAsia" w:cs="Arial"/>
          <w:b/>
          <w:bCs/>
          <w:color w:val="003399"/>
          <w:kern w:val="24"/>
          <w:sz w:val="24"/>
          <w:szCs w:val="24"/>
          <w:lang w:eastAsia="pl-PL"/>
        </w:rPr>
        <w:t>LVD</w:t>
      </w:r>
      <w:r w:rsidRPr="00FB21F7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E0163F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>2014/35/UE</w:t>
      </w:r>
    </w:p>
    <w:p w:rsidR="00FB21F7" w:rsidRPr="00FB21F7" w:rsidRDefault="00FB21F7" w:rsidP="00FB21F7">
      <w:pPr>
        <w:spacing w:before="86" w:line="216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0163F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Rozporządzenie Ministra Rozwoju z dnia 2 czerwca 2016 r. w sprawie wymagań dla sprzętu elektrycznego </w:t>
      </w:r>
      <w:r w:rsidRPr="00FB21F7">
        <w:rPr>
          <w:rFonts w:eastAsiaTheme="minorEastAsia" w:cs="Arial"/>
          <w:i/>
          <w:iCs/>
          <w:color w:val="000000" w:themeColor="text1"/>
          <w:kern w:val="24"/>
          <w:sz w:val="24"/>
          <w:szCs w:val="24"/>
          <w:lang w:eastAsia="pl-PL"/>
        </w:rPr>
        <w:t>(Dz. U. 20</w:t>
      </w:r>
      <w:r w:rsidRPr="00E0163F">
        <w:rPr>
          <w:rFonts w:eastAsiaTheme="minorEastAsia" w:cs="Arial"/>
          <w:i/>
          <w:iCs/>
          <w:color w:val="000000" w:themeColor="text1"/>
          <w:kern w:val="24"/>
          <w:sz w:val="24"/>
          <w:szCs w:val="24"/>
          <w:lang w:eastAsia="pl-PL"/>
        </w:rPr>
        <w:t xml:space="preserve">16 </w:t>
      </w:r>
      <w:r w:rsidRPr="00FB21F7">
        <w:rPr>
          <w:rFonts w:eastAsiaTheme="minorEastAsia" w:cs="Arial"/>
          <w:i/>
          <w:iCs/>
          <w:color w:val="000000" w:themeColor="text1"/>
          <w:kern w:val="24"/>
          <w:sz w:val="24"/>
          <w:szCs w:val="24"/>
          <w:lang w:eastAsia="pl-PL"/>
        </w:rPr>
        <w:t xml:space="preserve"> poz. </w:t>
      </w:r>
      <w:r w:rsidRPr="00E0163F">
        <w:rPr>
          <w:rFonts w:eastAsiaTheme="minorEastAsia" w:cs="Arial"/>
          <w:i/>
          <w:iCs/>
          <w:color w:val="000000" w:themeColor="text1"/>
          <w:kern w:val="24"/>
          <w:sz w:val="24"/>
          <w:szCs w:val="24"/>
          <w:lang w:eastAsia="pl-PL"/>
        </w:rPr>
        <w:t>806</w:t>
      </w:r>
      <w:r w:rsidRPr="00FB21F7">
        <w:rPr>
          <w:rFonts w:eastAsiaTheme="minorEastAsia" w:cs="Arial"/>
          <w:i/>
          <w:iCs/>
          <w:color w:val="000000" w:themeColor="text1"/>
          <w:kern w:val="24"/>
          <w:sz w:val="24"/>
          <w:szCs w:val="24"/>
          <w:lang w:eastAsia="pl-PL"/>
        </w:rPr>
        <w:t>)</w:t>
      </w:r>
    </w:p>
    <w:p w:rsidR="00FB21F7" w:rsidRPr="00E0163F" w:rsidRDefault="003234BC" w:rsidP="00FB21F7">
      <w:pPr>
        <w:numPr>
          <w:ilvl w:val="0"/>
          <w:numId w:val="4"/>
        </w:numPr>
        <w:spacing w:before="240" w:after="0" w:line="216" w:lineRule="auto"/>
        <w:ind w:left="714" w:hanging="35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0163F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Dyrektywa </w:t>
      </w:r>
      <w:r w:rsidR="00FB21F7" w:rsidRPr="00FB21F7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>2011/65/UE</w:t>
      </w:r>
      <w:r w:rsidR="00FB21F7" w:rsidRPr="00FB21F7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 parlamentu Europejskiego i Rady  z dnia 8 czerwca 2011 roku w sprawie ograniczenia stosowania niektórych niebezpiecznych substancji w sprzęcie elektrycznym i elektronicznym (</w:t>
      </w:r>
      <w:r w:rsidR="00FB21F7" w:rsidRPr="00FB21F7">
        <w:rPr>
          <w:rFonts w:eastAsiaTheme="minorEastAsia" w:cs="Arial"/>
          <w:b/>
          <w:bCs/>
          <w:color w:val="003399"/>
          <w:kern w:val="24"/>
          <w:sz w:val="24"/>
          <w:szCs w:val="24"/>
          <w:lang w:eastAsia="pl-PL"/>
        </w:rPr>
        <w:t>RoHS</w:t>
      </w:r>
      <w:r w:rsidRPr="00E0163F">
        <w:rPr>
          <w:rFonts w:eastAsiaTheme="minorEastAsia" w:cs="Arial"/>
          <w:b/>
          <w:bCs/>
          <w:color w:val="003399"/>
          <w:kern w:val="24"/>
          <w:sz w:val="24"/>
          <w:szCs w:val="24"/>
          <w:lang w:eastAsia="pl-PL"/>
        </w:rPr>
        <w:t xml:space="preserve"> 2</w:t>
      </w:r>
      <w:r w:rsidR="00FB21F7" w:rsidRPr="00FB21F7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)</w:t>
      </w:r>
    </w:p>
    <w:p w:rsidR="003234BC" w:rsidRPr="00E0163F" w:rsidRDefault="003234BC" w:rsidP="003234BC">
      <w:pPr>
        <w:spacing w:before="240" w:after="0" w:line="21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0163F">
        <w:rPr>
          <w:rFonts w:eastAsia="Times New Roman" w:cs="Times New Roman"/>
          <w:sz w:val="24"/>
          <w:szCs w:val="24"/>
          <w:lang w:eastAsia="pl-PL"/>
        </w:rPr>
        <w:t xml:space="preserve">Rozporządzenie Ministra Gospodarki z dnia 8 maja 2013 r. w sprawie zasadniczych wymagań dotyczących ograniczenia stosowania niektórych niebezpiecznych substancji w sprzęcie elektrycznym i elektronicznym                        </w:t>
      </w:r>
    </w:p>
    <w:p w:rsidR="00FB21F7" w:rsidRPr="00FB21F7" w:rsidRDefault="003234BC" w:rsidP="003234BC">
      <w:pPr>
        <w:spacing w:before="240" w:after="0" w:line="216" w:lineRule="auto"/>
        <w:contextualSpacing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E0163F">
        <w:rPr>
          <w:rFonts w:eastAsia="Times New Roman" w:cs="Times New Roman"/>
          <w:i/>
          <w:sz w:val="24"/>
          <w:szCs w:val="24"/>
          <w:lang w:eastAsia="pl-PL"/>
        </w:rPr>
        <w:t>(Dz.U. 2013 poz. 547)</w:t>
      </w:r>
      <w:r w:rsidRPr="00E0163F">
        <w:rPr>
          <w:rFonts w:eastAsia="Times New Roman" w:cs="Times New Roman"/>
          <w:i/>
          <w:sz w:val="24"/>
          <w:szCs w:val="24"/>
          <w:lang w:eastAsia="pl-PL"/>
        </w:rPr>
        <w:br/>
      </w:r>
    </w:p>
    <w:p w:rsidR="00FB21F7" w:rsidRPr="00FB21F7" w:rsidRDefault="00FB21F7" w:rsidP="00FB21F7">
      <w:pPr>
        <w:numPr>
          <w:ilvl w:val="0"/>
          <w:numId w:val="4"/>
        </w:numPr>
        <w:spacing w:after="0" w:line="21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FB21F7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 xml:space="preserve">Rozporządzenie Komisji </w:t>
      </w:r>
      <w:r w:rsidRPr="00FB21F7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(UE) </w:t>
      </w:r>
      <w:r w:rsidRPr="00FB21F7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2015/830</w:t>
      </w:r>
      <w:r w:rsidRPr="00FB21F7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 z dnia 28 maja 2015 r. zmieniające rozporządzenie (WE) nr </w:t>
      </w:r>
      <w:r w:rsidRPr="00FB21F7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1907/2006</w:t>
      </w:r>
      <w:r w:rsidRPr="00FB21F7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 Parlamentu Europejskiego i Rady w sprawie rejestracji, oceny, udzielania zezwoleń i stosowanych ograniczeń w zakresie chemikaliów </w:t>
      </w:r>
      <w:r w:rsidRPr="00FB21F7">
        <w:rPr>
          <w:rFonts w:eastAsiaTheme="minorEastAsia" w:cs="Arial"/>
          <w:color w:val="000000"/>
          <w:kern w:val="24"/>
          <w:sz w:val="24"/>
          <w:szCs w:val="24"/>
          <w:lang w:eastAsia="pl-PL"/>
        </w:rPr>
        <w:t>(</w:t>
      </w:r>
      <w:r w:rsidRPr="00FB21F7">
        <w:rPr>
          <w:rFonts w:eastAsiaTheme="minorEastAsia" w:cs="Arial"/>
          <w:b/>
          <w:bCs/>
          <w:color w:val="003399"/>
          <w:kern w:val="24"/>
          <w:sz w:val="24"/>
          <w:szCs w:val="24"/>
          <w:lang w:eastAsia="pl-PL"/>
        </w:rPr>
        <w:t>REACH</w:t>
      </w:r>
      <w:r w:rsidRPr="00FB21F7">
        <w:rPr>
          <w:rFonts w:eastAsiaTheme="minorEastAsia" w:cs="Arial"/>
          <w:color w:val="000000"/>
          <w:kern w:val="24"/>
          <w:sz w:val="24"/>
          <w:szCs w:val="24"/>
          <w:lang w:eastAsia="pl-PL"/>
        </w:rPr>
        <w:t>)</w:t>
      </w:r>
    </w:p>
    <w:p w:rsidR="001B124E" w:rsidRPr="00E0163F" w:rsidRDefault="001B124E" w:rsidP="001B124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B124E" w:rsidRPr="00E0163F" w:rsidRDefault="001B124E" w:rsidP="001B124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 xml:space="preserve">Dyrektywa </w:t>
      </w:r>
      <w:r w:rsidRPr="00E0163F">
        <w:rPr>
          <w:b/>
          <w:color w:val="44546A" w:themeColor="text2"/>
          <w:sz w:val="24"/>
          <w:szCs w:val="24"/>
        </w:rPr>
        <w:t>LVD</w:t>
      </w:r>
      <w:r w:rsidRPr="00E0163F">
        <w:rPr>
          <w:sz w:val="24"/>
          <w:szCs w:val="24"/>
        </w:rPr>
        <w:t xml:space="preserve"> nakłada obowiązek umieszczenia oznakowania CE na sprzęcie elektrycznym przewidywanym do stosowania w zakresie napięć od 50 V do 1000 V prądu przemiennego lub od 75 V do 1500 V prądu stałego (z wyłączeniem sprzętu i zjawisk ujętych w załączniku II – np. sprzęt elektryczny przeznaczony do użytku w atmosferach wybuchowych).</w:t>
      </w:r>
    </w:p>
    <w:p w:rsidR="001B124E" w:rsidRPr="00E0163F" w:rsidRDefault="001B124E" w:rsidP="001B124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B124E" w:rsidRPr="00E0163F" w:rsidRDefault="001B124E" w:rsidP="001B124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 xml:space="preserve">Dyrektywa obejmuje towary konsumpcyjne i inwestycyjne skonstruowane do działania </w:t>
      </w:r>
      <w:r w:rsidR="001C7AA7">
        <w:rPr>
          <w:sz w:val="24"/>
          <w:szCs w:val="24"/>
        </w:rPr>
        <w:t xml:space="preserve">                    </w:t>
      </w:r>
      <w:r w:rsidRPr="00E0163F">
        <w:rPr>
          <w:sz w:val="24"/>
          <w:szCs w:val="24"/>
        </w:rPr>
        <w:t xml:space="preserve">w ramach tych zakresów napięcia, włączając w to w szczególności urządzenia elektryczne, wyposażenie oświetleniowe łącznie ze statecznikami lamp fluoroscencyjnych, aparaturą łączeniową i sterującą, </w:t>
      </w:r>
      <w:r w:rsidRPr="00E0163F">
        <w:rPr>
          <w:b/>
          <w:sz w:val="24"/>
          <w:szCs w:val="24"/>
        </w:rPr>
        <w:t>przewodami</w:t>
      </w:r>
      <w:r w:rsidRPr="00E0163F">
        <w:rPr>
          <w:sz w:val="24"/>
          <w:szCs w:val="24"/>
        </w:rPr>
        <w:t xml:space="preserve"> </w:t>
      </w:r>
      <w:r w:rsidRPr="00E0163F">
        <w:rPr>
          <w:b/>
          <w:sz w:val="24"/>
          <w:szCs w:val="24"/>
        </w:rPr>
        <w:t>elektrycznymi</w:t>
      </w:r>
      <w:r w:rsidRPr="00E0163F">
        <w:rPr>
          <w:sz w:val="24"/>
          <w:szCs w:val="24"/>
        </w:rPr>
        <w:t xml:space="preserve">, </w:t>
      </w:r>
      <w:r w:rsidRPr="00E0163F">
        <w:rPr>
          <w:b/>
          <w:sz w:val="24"/>
          <w:szCs w:val="24"/>
        </w:rPr>
        <w:t>zestawy kabli</w:t>
      </w:r>
      <w:r w:rsidRPr="00E0163F">
        <w:rPr>
          <w:sz w:val="24"/>
          <w:szCs w:val="24"/>
        </w:rPr>
        <w:t xml:space="preserve"> i wyposażenia sprzęgającego urządzenia, wyposażenie instalacji elektrycznych, itp.</w:t>
      </w:r>
    </w:p>
    <w:p w:rsidR="001B124E" w:rsidRPr="00E0163F" w:rsidRDefault="001B124E" w:rsidP="001B124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Przyjmuje się, że wyroby spełniają cele bezpieczeństwa dyrektywy niskonapięciowej, jeśli zostały wytworzone zgodnie z określonymi w dyrektywie normami technicznymi, takimi jak normy europejskie (EN lub HD) oraz notyfikowanymi w UE normami krajowymi PN.</w:t>
      </w:r>
    </w:p>
    <w:p w:rsidR="001B124E" w:rsidRPr="00E0163F" w:rsidRDefault="00815987" w:rsidP="00815987">
      <w:pPr>
        <w:pStyle w:val="Akapitzlist"/>
        <w:spacing w:after="0" w:line="240" w:lineRule="auto"/>
        <w:ind w:left="0"/>
        <w:jc w:val="both"/>
        <w:rPr>
          <w:color w:val="44546A" w:themeColor="text2"/>
          <w:sz w:val="24"/>
          <w:szCs w:val="24"/>
        </w:rPr>
      </w:pPr>
      <w:r w:rsidRPr="00E0163F">
        <w:rPr>
          <w:sz w:val="24"/>
          <w:szCs w:val="24"/>
        </w:rPr>
        <w:t xml:space="preserve">Wykaz norm zharmonizowanych z dyrektywą LVD jest opublikowany w Dzienniku Urzędowym Unii Europejskiej  oraz na stronie Polskiego Komitetu Normalizacyjnego. </w:t>
      </w:r>
      <w:hyperlink r:id="rId5" w:history="1">
        <w:r w:rsidRPr="00E0163F">
          <w:rPr>
            <w:rStyle w:val="Hipercze"/>
            <w:sz w:val="24"/>
            <w:szCs w:val="24"/>
          </w:rPr>
          <w:t>https://pkn.pl/sites/default/files/sites/default/files/imce/files/dyrektywy/2014_35_UE.pdf</w:t>
        </w:r>
      </w:hyperlink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lastRenderedPageBreak/>
        <w:t>Procedura, przy użyciu której producent zapewnia i deklaruje zgodność wyposażenia elektrycznego z postanowieniami Dyrektywy obejmuje trzy główne elementy:</w:t>
      </w: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 xml:space="preserve">• </w:t>
      </w:r>
      <w:r w:rsidRPr="00E0163F">
        <w:rPr>
          <w:b/>
          <w:sz w:val="24"/>
          <w:szCs w:val="24"/>
        </w:rPr>
        <w:t>Dokumentacja techniczna</w:t>
      </w: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Producent musi przechowywać dokumentację do dyspozycji organów władz krajowych dla potrzeb inspekcji przez okres co najmniej dziesięciu lat od daty ostatniej produkcji danego produktu.</w:t>
      </w: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E0163F">
        <w:rPr>
          <w:sz w:val="24"/>
          <w:szCs w:val="24"/>
        </w:rPr>
        <w:t xml:space="preserve">• </w:t>
      </w:r>
      <w:r w:rsidRPr="00E0163F">
        <w:rPr>
          <w:b/>
          <w:sz w:val="24"/>
          <w:szCs w:val="24"/>
        </w:rPr>
        <w:t>Deklaracja zgodności</w:t>
      </w: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 xml:space="preserve">• </w:t>
      </w:r>
      <w:r w:rsidRPr="00E0163F">
        <w:rPr>
          <w:b/>
          <w:sz w:val="24"/>
          <w:szCs w:val="24"/>
        </w:rPr>
        <w:t>Oznaczenie CE</w:t>
      </w: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Oznaczenie CE musi być umieszczone na produkcie lub, gdy to nie jest wykonalne (z powodu warunków technicznych/ekonomicznych) na opakowaniu, instrukcji użytkowania lub gwarancji.</w:t>
      </w:r>
    </w:p>
    <w:p w:rsidR="001C7AA7" w:rsidRDefault="001C7AA7" w:rsidP="00815987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15987" w:rsidRPr="00E0163F" w:rsidRDefault="00815987" w:rsidP="008159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b/>
          <w:sz w:val="24"/>
          <w:szCs w:val="24"/>
        </w:rPr>
        <w:t>Deklaracja zgodności</w:t>
      </w:r>
      <w:r w:rsidRPr="00E0163F">
        <w:rPr>
          <w:sz w:val="24"/>
          <w:szCs w:val="24"/>
        </w:rPr>
        <w:t xml:space="preserve"> powinna zawierać:</w:t>
      </w:r>
    </w:p>
    <w:p w:rsidR="00815987" w:rsidRPr="00E0163F" w:rsidRDefault="00815987" w:rsidP="0005546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• Opis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produktu</w:t>
      </w:r>
      <w:r w:rsidR="0005546A" w:rsidRPr="00E0163F">
        <w:rPr>
          <w:sz w:val="24"/>
          <w:szCs w:val="24"/>
        </w:rPr>
        <w:t xml:space="preserve"> </w:t>
      </w:r>
    </w:p>
    <w:p w:rsidR="00815987" w:rsidRPr="00E0163F" w:rsidRDefault="00815987" w:rsidP="0005546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• Nazwa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i adres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producenta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oraz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w stosownym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przypadku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jego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upoważnionego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przedstawiciela</w:t>
      </w:r>
    </w:p>
    <w:p w:rsidR="00815987" w:rsidRPr="00E0163F" w:rsidRDefault="00815987" w:rsidP="0005546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• Uwaga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informująca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o tym,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że :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„Niniejsza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deklaracja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zgodności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wydana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zostaje</w:t>
      </w:r>
      <w:r w:rsidR="0005546A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n</w:t>
      </w:r>
      <w:r w:rsidR="0005546A" w:rsidRPr="00E0163F">
        <w:rPr>
          <w:sz w:val="24"/>
          <w:szCs w:val="24"/>
        </w:rPr>
        <w:t>a wyłączną odpowiedzialność producenta”</w:t>
      </w:r>
    </w:p>
    <w:p w:rsidR="0005546A" w:rsidRPr="00E0163F" w:rsidRDefault="0005546A" w:rsidP="0005546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Przedmiot deklaracji -  identyfikacja produktu umożliwiająca odtworzenie jego historii</w:t>
      </w:r>
    </w:p>
    <w:p w:rsidR="0005546A" w:rsidRPr="00E0163F" w:rsidRDefault="0005546A" w:rsidP="0005546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• Informację, że wymieniony powyżej przedmiot deklaracji jest zgodny z  wymaganiami wymienionej Dyrektywy</w:t>
      </w:r>
    </w:p>
    <w:p w:rsidR="0005546A" w:rsidRPr="00E0163F" w:rsidRDefault="0005546A" w:rsidP="0005546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• Odniesienia do norm zharmonizowanych, które zastosowano, lub  do innych specyfikacji technicznych, w stosunku do których deklarowana</w:t>
      </w:r>
      <w:r w:rsidR="001C7AA7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jest   zgodność</w:t>
      </w:r>
    </w:p>
    <w:p w:rsidR="0005546A" w:rsidRPr="00E0163F" w:rsidRDefault="0005546A" w:rsidP="00E0163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Informacje</w:t>
      </w:r>
      <w:r w:rsidR="00E0163F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dodatkowe</w:t>
      </w:r>
    </w:p>
    <w:p w:rsidR="0005546A" w:rsidRPr="00E0163F" w:rsidRDefault="0005546A" w:rsidP="00E0163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• Podpis</w:t>
      </w:r>
      <w:r w:rsidR="00E0163F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osoby</w:t>
      </w:r>
      <w:r w:rsidR="00E0163F" w:rsidRPr="00E0163F">
        <w:rPr>
          <w:sz w:val="24"/>
          <w:szCs w:val="24"/>
        </w:rPr>
        <w:t xml:space="preserve"> </w:t>
      </w:r>
      <w:r w:rsidRPr="00E0163F">
        <w:rPr>
          <w:sz w:val="24"/>
          <w:szCs w:val="24"/>
        </w:rPr>
        <w:t>upoważnionej</w:t>
      </w:r>
    </w:p>
    <w:p w:rsidR="001C7AA7" w:rsidRDefault="001C7AA7" w:rsidP="00E0163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0163F" w:rsidRPr="00E0163F" w:rsidRDefault="00E0163F" w:rsidP="001C7AA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 xml:space="preserve">Jeśli w odniesieniu do jednego wyrobu zastosowanie znajduje kilka dyrektyw (unijnych przepisów harmonizacyjnych), które nakładają obowiązek wydania deklaracji zgodności UE,   to wymagana jest  tylko </w:t>
      </w:r>
      <w:r w:rsidRPr="001C7AA7">
        <w:rPr>
          <w:b/>
          <w:sz w:val="24"/>
          <w:szCs w:val="24"/>
        </w:rPr>
        <w:t xml:space="preserve">jedna </w:t>
      </w:r>
      <w:r w:rsidR="001C7AA7" w:rsidRPr="001C7AA7">
        <w:rPr>
          <w:b/>
          <w:sz w:val="24"/>
          <w:szCs w:val="24"/>
        </w:rPr>
        <w:t>D</w:t>
      </w:r>
      <w:r w:rsidRPr="001C7AA7">
        <w:rPr>
          <w:b/>
          <w:sz w:val="24"/>
          <w:szCs w:val="24"/>
        </w:rPr>
        <w:t>eklaracja zgodności</w:t>
      </w:r>
      <w:r w:rsidRPr="00E0163F">
        <w:rPr>
          <w:sz w:val="24"/>
          <w:szCs w:val="24"/>
        </w:rPr>
        <w:t>.</w:t>
      </w:r>
    </w:p>
    <w:p w:rsidR="00E0163F" w:rsidRPr="00E0163F" w:rsidRDefault="00E0163F" w:rsidP="001C7AA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 xml:space="preserve">Deklaracja zgodności powinna zawierać informacje odnośnie jednostki notyfikowanej, która nadzoruje </w:t>
      </w:r>
      <w:r w:rsidRPr="00C85F85">
        <w:rPr>
          <w:sz w:val="24"/>
          <w:szCs w:val="24"/>
          <w:u w:val="single"/>
        </w:rPr>
        <w:t>system jakości produkcji</w:t>
      </w:r>
      <w:r w:rsidRPr="00E0163F">
        <w:rPr>
          <w:sz w:val="24"/>
          <w:szCs w:val="24"/>
        </w:rPr>
        <w:t xml:space="preserve"> – jeżeli ma zastosowanie.</w:t>
      </w:r>
    </w:p>
    <w:p w:rsidR="00F0053F" w:rsidRPr="00E0163F" w:rsidRDefault="001D012C" w:rsidP="001C7AA7">
      <w:pPr>
        <w:pStyle w:val="Akapitzlist"/>
        <w:ind w:left="0"/>
        <w:jc w:val="both"/>
        <w:rPr>
          <w:sz w:val="24"/>
          <w:szCs w:val="24"/>
        </w:rPr>
      </w:pPr>
      <w:r w:rsidRPr="00E0163F">
        <w:rPr>
          <w:sz w:val="24"/>
          <w:szCs w:val="24"/>
        </w:rPr>
        <w:t>Okazanie Deklaracji zgodności</w:t>
      </w:r>
      <w:r w:rsidR="00E0163F" w:rsidRPr="00E0163F">
        <w:rPr>
          <w:sz w:val="24"/>
          <w:szCs w:val="24"/>
        </w:rPr>
        <w:t xml:space="preserve"> na życzenie klienta</w:t>
      </w:r>
      <w:r w:rsidRPr="00E0163F">
        <w:rPr>
          <w:sz w:val="24"/>
          <w:szCs w:val="24"/>
        </w:rPr>
        <w:t xml:space="preserve"> jest podstawowym wymogiem</w:t>
      </w:r>
      <w:r w:rsidR="00E0163F" w:rsidRPr="00E0163F">
        <w:rPr>
          <w:sz w:val="24"/>
          <w:szCs w:val="24"/>
        </w:rPr>
        <w:t xml:space="preserve"> </w:t>
      </w:r>
      <w:r w:rsidR="001C7AA7">
        <w:rPr>
          <w:sz w:val="24"/>
          <w:szCs w:val="24"/>
        </w:rPr>
        <w:t>p</w:t>
      </w:r>
      <w:r w:rsidR="00E0163F" w:rsidRPr="00E0163F">
        <w:rPr>
          <w:sz w:val="24"/>
          <w:szCs w:val="24"/>
        </w:rPr>
        <w:t>roducenta, może być również</w:t>
      </w:r>
      <w:r w:rsidR="00846F8D" w:rsidRPr="00E0163F">
        <w:rPr>
          <w:sz w:val="24"/>
          <w:szCs w:val="24"/>
        </w:rPr>
        <w:t xml:space="preserve"> publikowan</w:t>
      </w:r>
      <w:r w:rsidR="00E0163F" w:rsidRPr="00E0163F">
        <w:rPr>
          <w:sz w:val="24"/>
          <w:szCs w:val="24"/>
        </w:rPr>
        <w:t>a</w:t>
      </w:r>
      <w:r w:rsidR="00846F8D" w:rsidRPr="00E0163F">
        <w:rPr>
          <w:sz w:val="24"/>
          <w:szCs w:val="24"/>
        </w:rPr>
        <w:t xml:space="preserve"> stronie internetowej producenta.</w:t>
      </w:r>
    </w:p>
    <w:p w:rsidR="00527ECA" w:rsidRDefault="00527ECA" w:rsidP="001C7A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Umieszczenie znaku CE informuje odbiorcę, że  producent przeanalizował i dostosował</w:t>
      </w:r>
      <w:r w:rsidR="001C7AA7">
        <w:rPr>
          <w:sz w:val="24"/>
          <w:szCs w:val="24"/>
        </w:rPr>
        <w:t xml:space="preserve"> </w:t>
      </w:r>
      <w:r>
        <w:rPr>
          <w:sz w:val="24"/>
          <w:szCs w:val="24"/>
        </w:rPr>
        <w:t>produkt do wszystkich Dyrektyw obowiązujących aktualnie w Unii Europejskiej na jego produkt.</w:t>
      </w:r>
    </w:p>
    <w:p w:rsidR="00527ECA" w:rsidRDefault="001C7AA7" w:rsidP="001C7AA7">
      <w:pPr>
        <w:pStyle w:val="Akapitzlist"/>
        <w:ind w:left="0"/>
        <w:jc w:val="both"/>
        <w:rPr>
          <w:sz w:val="24"/>
          <w:szCs w:val="24"/>
        </w:rPr>
      </w:pPr>
      <w:r w:rsidRPr="001C7AA7">
        <w:rPr>
          <w:sz w:val="24"/>
          <w:szCs w:val="24"/>
        </w:rPr>
        <w:t>Dla poprawy swej konkurencyjności producent może  zabiegać o uzyskanie różnych typów certyfikatów  np. w BBJ SEP – są  to jednak dokumenty nie wymagalne obligatoryjnie.</w:t>
      </w:r>
    </w:p>
    <w:p w:rsidR="006F1A87" w:rsidRDefault="001C7AA7" w:rsidP="001C7AA7">
      <w:pPr>
        <w:jc w:val="both"/>
        <w:rPr>
          <w:sz w:val="24"/>
          <w:szCs w:val="24"/>
        </w:rPr>
      </w:pPr>
      <w:r w:rsidRPr="001C7AA7">
        <w:rPr>
          <w:sz w:val="24"/>
          <w:szCs w:val="24"/>
        </w:rPr>
        <w:t xml:space="preserve">Substancje niebezpieczne w sprzęcie w Unii reguluje dyrektywa </w:t>
      </w:r>
      <w:r w:rsidRPr="001C7AA7">
        <w:rPr>
          <w:b/>
          <w:sz w:val="24"/>
          <w:szCs w:val="24"/>
        </w:rPr>
        <w:t>RoHS</w:t>
      </w:r>
      <w:r w:rsidRPr="001C7AA7">
        <w:rPr>
          <w:sz w:val="24"/>
          <w:szCs w:val="24"/>
        </w:rPr>
        <w:t xml:space="preserve"> i pośrednio rozporządzenie </w:t>
      </w:r>
      <w:r w:rsidRPr="001C7AA7">
        <w:rPr>
          <w:b/>
          <w:sz w:val="24"/>
          <w:szCs w:val="24"/>
        </w:rPr>
        <w:t>REACH</w:t>
      </w:r>
    </w:p>
    <w:p w:rsidR="001C7AA7" w:rsidRDefault="001C7AA7" w:rsidP="001C7AA7">
      <w:pPr>
        <w:jc w:val="both"/>
        <w:rPr>
          <w:sz w:val="24"/>
          <w:szCs w:val="24"/>
        </w:rPr>
      </w:pPr>
      <w:r w:rsidRPr="001C7AA7">
        <w:rPr>
          <w:sz w:val="24"/>
          <w:szCs w:val="24"/>
        </w:rPr>
        <w:t xml:space="preserve">Dyrektywa </w:t>
      </w:r>
      <w:r w:rsidRPr="001C7AA7">
        <w:rPr>
          <w:b/>
          <w:sz w:val="24"/>
          <w:szCs w:val="24"/>
        </w:rPr>
        <w:t>RoHS</w:t>
      </w:r>
      <w:r w:rsidRPr="001C7AA7">
        <w:rPr>
          <w:sz w:val="24"/>
          <w:szCs w:val="24"/>
        </w:rPr>
        <w:t xml:space="preserve"> określa zasady ograniczania stosowania niebezpiecznych substancji w sprzęcie elektrycznym i elektronicznym (EEE) uwzględniając ich wpływ na środowisko i życie ludzkie w etapie użytkowania oraz odzysku odpadu</w:t>
      </w:r>
    </w:p>
    <w:p w:rsidR="001C7AA7" w:rsidRDefault="004008D4" w:rsidP="001C7AA7">
      <w:pPr>
        <w:jc w:val="both"/>
        <w:rPr>
          <w:sz w:val="24"/>
          <w:szCs w:val="24"/>
        </w:rPr>
      </w:pPr>
      <w:r w:rsidRPr="004008D4">
        <w:rPr>
          <w:sz w:val="24"/>
          <w:szCs w:val="24"/>
        </w:rPr>
        <w:lastRenderedPageBreak/>
        <w:t xml:space="preserve">Dyrektywa </w:t>
      </w:r>
      <w:r w:rsidRPr="004008D4">
        <w:rPr>
          <w:b/>
          <w:color w:val="44546A" w:themeColor="text2"/>
          <w:sz w:val="24"/>
          <w:szCs w:val="24"/>
        </w:rPr>
        <w:t>RoHS 2</w:t>
      </w:r>
      <w:r>
        <w:rPr>
          <w:sz w:val="24"/>
          <w:szCs w:val="24"/>
        </w:rPr>
        <w:t xml:space="preserve"> wprowadza n</w:t>
      </w:r>
      <w:r w:rsidR="001C7AA7" w:rsidRPr="001C7AA7">
        <w:rPr>
          <w:sz w:val="24"/>
          <w:szCs w:val="24"/>
        </w:rPr>
        <w:t>owe wymagania dla producentów, autoryzowanych przedstawicieli, import</w:t>
      </w:r>
      <w:r>
        <w:rPr>
          <w:sz w:val="24"/>
          <w:szCs w:val="24"/>
        </w:rPr>
        <w:t>erów i dystrybutorów w zakresie</w:t>
      </w:r>
      <w:r w:rsidR="001C7AA7" w:rsidRPr="001C7AA7">
        <w:rPr>
          <w:sz w:val="24"/>
          <w:szCs w:val="24"/>
        </w:rPr>
        <w:t xml:space="preserve"> dokumentacji technicznej</w:t>
      </w:r>
      <w:r>
        <w:rPr>
          <w:sz w:val="24"/>
          <w:szCs w:val="24"/>
        </w:rPr>
        <w:t xml:space="preserve">, </w:t>
      </w:r>
      <w:r w:rsidR="001C7AA7" w:rsidRPr="001C7AA7">
        <w:rPr>
          <w:sz w:val="24"/>
          <w:szCs w:val="24"/>
        </w:rPr>
        <w:t xml:space="preserve">    wewnętrznej kontroli produkcji</w:t>
      </w:r>
      <w:r>
        <w:rPr>
          <w:sz w:val="24"/>
          <w:szCs w:val="24"/>
        </w:rPr>
        <w:t xml:space="preserve">, </w:t>
      </w:r>
      <w:r w:rsidR="001C7AA7" w:rsidRPr="001C7AA7">
        <w:rPr>
          <w:sz w:val="24"/>
          <w:szCs w:val="24"/>
        </w:rPr>
        <w:t>deklaracji zgodności UE</w:t>
      </w:r>
      <w:r>
        <w:rPr>
          <w:sz w:val="24"/>
          <w:szCs w:val="24"/>
        </w:rPr>
        <w:t xml:space="preserve">, </w:t>
      </w:r>
      <w:r w:rsidR="001C7AA7" w:rsidRPr="001C7AA7">
        <w:rPr>
          <w:sz w:val="24"/>
          <w:szCs w:val="24"/>
        </w:rPr>
        <w:t>znaku CE.</w:t>
      </w:r>
    </w:p>
    <w:p w:rsidR="004008D4" w:rsidRPr="004008D4" w:rsidRDefault="004008D4" w:rsidP="004008D4">
      <w:pPr>
        <w:jc w:val="both"/>
        <w:rPr>
          <w:sz w:val="24"/>
          <w:szCs w:val="24"/>
        </w:rPr>
      </w:pPr>
      <w:r w:rsidRPr="004008D4">
        <w:rPr>
          <w:sz w:val="24"/>
          <w:szCs w:val="24"/>
        </w:rPr>
        <w:t>W 2019r włączony do RoHS zostanie wszelki sprzęt spełniający definicję sprzętu elektrycznego i elektronicznego</w:t>
      </w:r>
      <w:r>
        <w:rPr>
          <w:sz w:val="24"/>
          <w:szCs w:val="24"/>
        </w:rPr>
        <w:t xml:space="preserve"> (czyli też kable i przewody)</w:t>
      </w:r>
      <w:r w:rsidRPr="004008D4">
        <w:rPr>
          <w:sz w:val="24"/>
          <w:szCs w:val="24"/>
        </w:rPr>
        <w:t>.</w:t>
      </w:r>
    </w:p>
    <w:p w:rsidR="005F6ED4" w:rsidRDefault="00544943" w:rsidP="00F62DE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27E60">
        <w:rPr>
          <w:sz w:val="24"/>
          <w:szCs w:val="24"/>
        </w:rPr>
        <w:t xml:space="preserve">rocedury badania zgodności z RoHS </w:t>
      </w:r>
      <w:r>
        <w:rPr>
          <w:sz w:val="24"/>
          <w:szCs w:val="24"/>
        </w:rPr>
        <w:t xml:space="preserve">normuje  </w:t>
      </w:r>
      <w:r w:rsidR="00727E60">
        <w:rPr>
          <w:sz w:val="24"/>
          <w:szCs w:val="24"/>
        </w:rPr>
        <w:t xml:space="preserve">PN-EN 50581:2013-03 </w:t>
      </w:r>
      <w:r w:rsidR="004008D4">
        <w:rPr>
          <w:sz w:val="24"/>
          <w:szCs w:val="24"/>
        </w:rPr>
        <w:t xml:space="preserve">                                 </w:t>
      </w:r>
      <w:r w:rsidR="00727E60">
        <w:rPr>
          <w:sz w:val="24"/>
          <w:szCs w:val="24"/>
        </w:rPr>
        <w:t>Dokumentacja techniczna oceny wyrobów elektrycznych i elektronicznych z uwzględnieniem ograniczenia stosowania substancji niebezpiecznych.</w:t>
      </w:r>
    </w:p>
    <w:p w:rsidR="00650B18" w:rsidRDefault="00650B18" w:rsidP="00F62DEC">
      <w:pPr>
        <w:rPr>
          <w:sz w:val="24"/>
          <w:szCs w:val="24"/>
        </w:rPr>
      </w:pPr>
      <w:r w:rsidRPr="00650B18">
        <w:rPr>
          <w:sz w:val="24"/>
          <w:szCs w:val="24"/>
          <w:u w:val="single"/>
        </w:rPr>
        <w:t>Uwaga</w:t>
      </w:r>
    </w:p>
    <w:p w:rsidR="00650B18" w:rsidRDefault="00650B18" w:rsidP="00F62DEC">
      <w:pPr>
        <w:rPr>
          <w:sz w:val="24"/>
          <w:szCs w:val="24"/>
        </w:rPr>
      </w:pPr>
      <w:r>
        <w:rPr>
          <w:sz w:val="24"/>
          <w:szCs w:val="24"/>
        </w:rPr>
        <w:t xml:space="preserve">Dyrektywa </w:t>
      </w:r>
      <w:proofErr w:type="spellStart"/>
      <w:r>
        <w:rPr>
          <w:sz w:val="24"/>
          <w:szCs w:val="24"/>
        </w:rPr>
        <w:t>RoHs</w:t>
      </w:r>
      <w:proofErr w:type="spellEnd"/>
      <w:r>
        <w:rPr>
          <w:sz w:val="24"/>
          <w:szCs w:val="24"/>
        </w:rPr>
        <w:t xml:space="preserve"> oraz Rozporządzenie REACH dotyczy wszystkich grup kabli, również kabli energetycznych średnich i wysokich napięć oraz Kabli światłowodowych.</w:t>
      </w:r>
    </w:p>
    <w:p w:rsidR="005047B5" w:rsidRDefault="00F0053F" w:rsidP="004008D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6F1A87">
        <w:rPr>
          <w:b/>
          <w:sz w:val="32"/>
          <w:szCs w:val="32"/>
        </w:rPr>
        <w:t xml:space="preserve">Kable i przewody elektryczne jako </w:t>
      </w:r>
      <w:r w:rsidR="00FC4C62" w:rsidRPr="006F1A87">
        <w:rPr>
          <w:b/>
          <w:sz w:val="32"/>
          <w:szCs w:val="32"/>
        </w:rPr>
        <w:t xml:space="preserve">produkt </w:t>
      </w:r>
      <w:r w:rsidRPr="006F1A87">
        <w:rPr>
          <w:b/>
          <w:sz w:val="32"/>
          <w:szCs w:val="32"/>
        </w:rPr>
        <w:t xml:space="preserve"> budowlany.</w:t>
      </w:r>
    </w:p>
    <w:p w:rsidR="006F1A87" w:rsidRPr="006F1A87" w:rsidRDefault="004008D4" w:rsidP="004008D4">
      <w:pPr>
        <w:pStyle w:val="Akapitzlist"/>
        <w:spacing w:before="24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F1A87" w:rsidRPr="006F1A87">
        <w:rPr>
          <w:b/>
          <w:sz w:val="32"/>
          <w:szCs w:val="32"/>
        </w:rPr>
        <w:t xml:space="preserve">Dotyczy również </w:t>
      </w:r>
      <w:r>
        <w:rPr>
          <w:b/>
          <w:sz w:val="32"/>
          <w:szCs w:val="32"/>
        </w:rPr>
        <w:t>kabli</w:t>
      </w:r>
      <w:r w:rsidR="006F1A87" w:rsidRPr="006F1A87">
        <w:rPr>
          <w:b/>
          <w:sz w:val="32"/>
          <w:szCs w:val="32"/>
        </w:rPr>
        <w:t xml:space="preserve"> światłowodowych.</w:t>
      </w:r>
    </w:p>
    <w:p w:rsidR="006F1A87" w:rsidRDefault="006F1A87" w:rsidP="00F62DEC">
      <w:pPr>
        <w:pStyle w:val="Akapitzlist"/>
        <w:ind w:left="1440"/>
      </w:pPr>
    </w:p>
    <w:p w:rsidR="00544943" w:rsidRDefault="005047B5" w:rsidP="004008D4">
      <w:pPr>
        <w:pStyle w:val="Akapitzlist"/>
        <w:ind w:left="0"/>
        <w:rPr>
          <w:sz w:val="24"/>
          <w:szCs w:val="24"/>
        </w:rPr>
      </w:pPr>
      <w:r w:rsidRPr="005047B5">
        <w:t xml:space="preserve"> </w:t>
      </w:r>
      <w:r w:rsidR="00D620E4" w:rsidRPr="006F1A87">
        <w:rPr>
          <w:sz w:val="24"/>
          <w:szCs w:val="24"/>
        </w:rPr>
        <w:t xml:space="preserve">ROZPORZĄDZENIE PARLAMENTU EUROPEJSKIEGO I RADY (UE) NR 305/2011 z dnia 9 marca 2011 r. ustanawiające  zharmonizowane warunki wprowadzania do obrotu wyrobów budowlanych </w:t>
      </w:r>
      <w:r w:rsidR="00F0053F" w:rsidRPr="004008D4">
        <w:rPr>
          <w:b/>
          <w:color w:val="44546A" w:themeColor="text2"/>
          <w:sz w:val="24"/>
          <w:szCs w:val="24"/>
        </w:rPr>
        <w:t>CPR</w:t>
      </w:r>
      <w:r w:rsidR="00544943" w:rsidRPr="006F1A87">
        <w:rPr>
          <w:sz w:val="24"/>
          <w:szCs w:val="24"/>
        </w:rPr>
        <w:t>.</w:t>
      </w:r>
    </w:p>
    <w:p w:rsidR="004008D4" w:rsidRPr="006F1A87" w:rsidRDefault="004008D4" w:rsidP="004008D4">
      <w:pPr>
        <w:pStyle w:val="Akapitzlist"/>
        <w:ind w:left="0"/>
        <w:rPr>
          <w:sz w:val="24"/>
          <w:szCs w:val="24"/>
        </w:rPr>
      </w:pPr>
      <w:r w:rsidRPr="004008D4">
        <w:rPr>
          <w:sz w:val="24"/>
          <w:szCs w:val="24"/>
        </w:rPr>
        <w:t>Obowiązuje ostatecznie dla kabli od 1 lipca 2017 roku</w:t>
      </w:r>
      <w:r>
        <w:rPr>
          <w:sz w:val="24"/>
          <w:szCs w:val="24"/>
        </w:rPr>
        <w:t>.</w:t>
      </w:r>
    </w:p>
    <w:p w:rsidR="0079458E" w:rsidRPr="004008D4" w:rsidRDefault="00544943" w:rsidP="00F62DEC">
      <w:pPr>
        <w:rPr>
          <w:b/>
          <w:i/>
          <w:sz w:val="24"/>
          <w:szCs w:val="24"/>
        </w:rPr>
      </w:pPr>
      <w:r w:rsidRPr="004008D4">
        <w:rPr>
          <w:b/>
          <w:i/>
          <w:sz w:val="24"/>
          <w:szCs w:val="24"/>
        </w:rPr>
        <w:t>Wyjaśnienie zakresu obowiązywania</w:t>
      </w:r>
      <w:r w:rsidR="006F1A87" w:rsidRPr="004008D4">
        <w:rPr>
          <w:b/>
          <w:i/>
          <w:sz w:val="24"/>
          <w:szCs w:val="24"/>
        </w:rPr>
        <w:t xml:space="preserve"> Rozporządzenia CPR</w:t>
      </w:r>
      <w:r w:rsidRPr="004008D4">
        <w:rPr>
          <w:b/>
          <w:i/>
          <w:sz w:val="24"/>
          <w:szCs w:val="24"/>
        </w:rPr>
        <w:t>:</w:t>
      </w:r>
      <w:r w:rsidR="0079458E" w:rsidRPr="004008D4">
        <w:rPr>
          <w:b/>
          <w:i/>
          <w:sz w:val="24"/>
          <w:szCs w:val="24"/>
        </w:rPr>
        <w:t xml:space="preserve"> 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ROZDZIAŁ I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Artykuł 1</w:t>
      </w: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Niniejsze rozporządzenie określa warunki wprowadzania do obrotu lub udostępniania na</w:t>
      </w:r>
      <w:r w:rsidR="004008D4">
        <w:rPr>
          <w:rFonts w:cs="Arial"/>
          <w:i/>
          <w:sz w:val="24"/>
          <w:szCs w:val="24"/>
        </w:rPr>
        <w:t xml:space="preserve"> </w:t>
      </w:r>
      <w:r w:rsidRPr="004008D4">
        <w:rPr>
          <w:rFonts w:cs="Arial"/>
          <w:i/>
          <w:sz w:val="24"/>
          <w:szCs w:val="24"/>
        </w:rPr>
        <w:t xml:space="preserve">rynku </w:t>
      </w:r>
      <w:r w:rsidRPr="004008D4">
        <w:rPr>
          <w:rFonts w:cs="Arial"/>
          <w:b/>
          <w:i/>
          <w:sz w:val="24"/>
          <w:szCs w:val="24"/>
        </w:rPr>
        <w:t>wyrobów budowlanych</w:t>
      </w:r>
      <w:r w:rsidRPr="004008D4">
        <w:rPr>
          <w:rFonts w:cs="Arial"/>
          <w:i/>
          <w:sz w:val="24"/>
          <w:szCs w:val="24"/>
        </w:rPr>
        <w:t>, poprzez ustanowienie zharmonizowanych zasad wyrażania właściwości użytkowych wyrobów budowlanych w odniesieniu do ich zasadniczych charakterystyk oraz zharmonizowanych zasad stosowania oznakowania CE na tych wyrobach.</w:t>
      </w: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Artykuł 2</w:t>
      </w: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Na użytek niniejszego rozporządzenia stosuje się następujące definicje:</w:t>
      </w: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 xml:space="preserve">1) </w:t>
      </w:r>
      <w:r w:rsidRPr="004008D4">
        <w:rPr>
          <w:rFonts w:cs="Arial"/>
          <w:b/>
          <w:i/>
          <w:sz w:val="24"/>
          <w:szCs w:val="24"/>
        </w:rPr>
        <w:t>„wyrób budowlany”</w:t>
      </w:r>
      <w:r w:rsidRPr="004008D4">
        <w:rPr>
          <w:rFonts w:cs="Arial"/>
          <w:i/>
          <w:sz w:val="24"/>
          <w:szCs w:val="24"/>
        </w:rPr>
        <w:t xml:space="preserve"> oznacza każdy wyrób lub zestaw wyprodukowany i wprowadzony do obrotu w celu trwałego wbudowania w obiektach budowlanych lub ich częściach, którego właściwości wpływają na właściwości użytkowe obiektów budowlanych w stosunku do podstawowych wymagań dotyczących obiektów budowlanych;</w:t>
      </w: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 xml:space="preserve">3) </w:t>
      </w:r>
      <w:r w:rsidRPr="004008D4">
        <w:rPr>
          <w:rFonts w:cs="Arial"/>
          <w:b/>
          <w:i/>
          <w:sz w:val="24"/>
          <w:szCs w:val="24"/>
        </w:rPr>
        <w:t xml:space="preserve">„obiekty budowlane” </w:t>
      </w:r>
      <w:r w:rsidRPr="004008D4">
        <w:rPr>
          <w:rFonts w:cs="Arial"/>
          <w:i/>
          <w:sz w:val="24"/>
          <w:szCs w:val="24"/>
        </w:rPr>
        <w:t>oznaczają budynki i budowle</w:t>
      </w:r>
      <w:r w:rsidR="00A6577E" w:rsidRPr="004008D4">
        <w:rPr>
          <w:rFonts w:cs="Arial"/>
          <w:i/>
          <w:sz w:val="24"/>
          <w:szCs w:val="24"/>
        </w:rPr>
        <w:t>(…)</w:t>
      </w:r>
    </w:p>
    <w:p w:rsidR="00FE4504" w:rsidRPr="004008D4" w:rsidRDefault="00FE4504" w:rsidP="004008D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FE4504" w:rsidRPr="004008D4" w:rsidRDefault="00FE4504" w:rsidP="004008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b/>
          <w:i/>
          <w:sz w:val="24"/>
          <w:szCs w:val="24"/>
          <w:lang w:eastAsia="pl-PL"/>
        </w:rPr>
        <w:t>Polska Klasyfikacja Obiektów Budowlanych (PKOB)</w:t>
      </w:r>
      <w:r w:rsidRPr="004008D4">
        <w:rPr>
          <w:rFonts w:cs="Arial"/>
          <w:i/>
          <w:sz w:val="24"/>
          <w:szCs w:val="24"/>
          <w:lang w:eastAsia="pl-PL"/>
        </w:rPr>
        <w:t xml:space="preserve"> stanowi usystematyzowany wykaz </w:t>
      </w:r>
      <w:r w:rsidRPr="004008D4">
        <w:rPr>
          <w:rFonts w:cs="Arial"/>
          <w:b/>
          <w:i/>
          <w:sz w:val="24"/>
          <w:szCs w:val="24"/>
          <w:lang w:eastAsia="pl-PL"/>
        </w:rPr>
        <w:t>obiektów budowlanych</w:t>
      </w:r>
      <w:r w:rsidRPr="004008D4">
        <w:rPr>
          <w:rFonts w:cs="Arial"/>
          <w:i/>
          <w:sz w:val="24"/>
          <w:szCs w:val="24"/>
          <w:lang w:eastAsia="pl-PL"/>
        </w:rPr>
        <w:t>, rozumianych jako produkty finalne działalno</w:t>
      </w:r>
      <w:r w:rsidRPr="004008D4">
        <w:rPr>
          <w:rFonts w:eastAsia="TimesNewRoman" w:cs="Arial"/>
          <w:i/>
          <w:sz w:val="24"/>
          <w:szCs w:val="24"/>
          <w:lang w:eastAsia="pl-PL"/>
        </w:rPr>
        <w:t>ś</w:t>
      </w:r>
      <w:r w:rsidRPr="004008D4">
        <w:rPr>
          <w:rFonts w:cs="Arial"/>
          <w:i/>
          <w:sz w:val="24"/>
          <w:szCs w:val="24"/>
          <w:lang w:eastAsia="pl-PL"/>
        </w:rPr>
        <w:t xml:space="preserve">ci budowlanej. </w:t>
      </w:r>
    </w:p>
    <w:p w:rsidR="00FE4504" w:rsidRPr="004008D4" w:rsidRDefault="00FE4504" w:rsidP="004008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 xml:space="preserve">W Polskiej Klasyfikacji Obiektów Budowlanych obiekty budowlane grupowane są w dwóch sekcjach: "Budynki" i "Obiekty inżynierii lądowej i wodnej". 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  <w:lang w:eastAsia="pl-PL"/>
        </w:rPr>
      </w:pPr>
      <w:r w:rsidRPr="004008D4">
        <w:rPr>
          <w:rFonts w:cs="Arial"/>
          <w:b/>
          <w:bCs/>
          <w:i/>
          <w:iCs/>
          <w:sz w:val="24"/>
          <w:szCs w:val="24"/>
          <w:lang w:eastAsia="pl-PL"/>
        </w:rPr>
        <w:t>PODZIAŁ OBIEKTÓW BUDOWLANYCH NA SEKCJE I DZIAŁY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lastRenderedPageBreak/>
        <w:t>1 BUDYNKI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1</w:t>
      </w:r>
      <w:r w:rsidR="005047B5" w:rsidRPr="004008D4">
        <w:rPr>
          <w:rFonts w:cs="Arial"/>
          <w:i/>
          <w:sz w:val="24"/>
          <w:szCs w:val="24"/>
          <w:lang w:eastAsia="pl-PL"/>
        </w:rPr>
        <w:t>.</w:t>
      </w:r>
      <w:r w:rsidRPr="004008D4">
        <w:rPr>
          <w:rFonts w:cs="Arial"/>
          <w:i/>
          <w:sz w:val="24"/>
          <w:szCs w:val="24"/>
          <w:lang w:eastAsia="pl-PL"/>
        </w:rPr>
        <w:t>1 Budynki mieszkalne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1</w:t>
      </w:r>
      <w:r w:rsidR="005047B5" w:rsidRPr="004008D4">
        <w:rPr>
          <w:rFonts w:cs="Arial"/>
          <w:i/>
          <w:sz w:val="24"/>
          <w:szCs w:val="24"/>
          <w:lang w:eastAsia="pl-PL"/>
        </w:rPr>
        <w:t>.</w:t>
      </w:r>
      <w:r w:rsidRPr="004008D4">
        <w:rPr>
          <w:rFonts w:cs="Arial"/>
          <w:i/>
          <w:sz w:val="24"/>
          <w:szCs w:val="24"/>
          <w:lang w:eastAsia="pl-PL"/>
        </w:rPr>
        <w:t>2 Budynki niemieszkalne</w:t>
      </w:r>
    </w:p>
    <w:p w:rsidR="005047B5" w:rsidRPr="004008D4" w:rsidRDefault="005047B5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2 OBIEKTY INŻYNIERII L</w:t>
      </w:r>
      <w:r w:rsidRPr="004008D4">
        <w:rPr>
          <w:rFonts w:eastAsia="TimesNewRoman" w:cs="Arial"/>
          <w:i/>
          <w:sz w:val="24"/>
          <w:szCs w:val="24"/>
          <w:lang w:eastAsia="pl-PL"/>
        </w:rPr>
        <w:t>Ą</w:t>
      </w:r>
      <w:r w:rsidRPr="004008D4">
        <w:rPr>
          <w:rFonts w:cs="Arial"/>
          <w:i/>
          <w:sz w:val="24"/>
          <w:szCs w:val="24"/>
          <w:lang w:eastAsia="pl-PL"/>
        </w:rPr>
        <w:t>DOWEJ I WODNEJ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2</w:t>
      </w:r>
      <w:r w:rsidR="005047B5" w:rsidRPr="004008D4">
        <w:rPr>
          <w:rFonts w:cs="Arial"/>
          <w:i/>
          <w:sz w:val="24"/>
          <w:szCs w:val="24"/>
          <w:lang w:eastAsia="pl-PL"/>
        </w:rPr>
        <w:t>.</w:t>
      </w:r>
      <w:r w:rsidRPr="004008D4">
        <w:rPr>
          <w:rFonts w:cs="Arial"/>
          <w:i/>
          <w:sz w:val="24"/>
          <w:szCs w:val="24"/>
          <w:lang w:eastAsia="pl-PL"/>
        </w:rPr>
        <w:t>1 Infrastruktura transportu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2</w:t>
      </w:r>
      <w:r w:rsidR="005047B5" w:rsidRPr="004008D4">
        <w:rPr>
          <w:rFonts w:cs="Arial"/>
          <w:i/>
          <w:sz w:val="24"/>
          <w:szCs w:val="24"/>
          <w:lang w:eastAsia="pl-PL"/>
        </w:rPr>
        <w:t>.</w:t>
      </w:r>
      <w:r w:rsidRPr="004008D4">
        <w:rPr>
          <w:rFonts w:cs="Arial"/>
          <w:i/>
          <w:sz w:val="24"/>
          <w:szCs w:val="24"/>
          <w:lang w:eastAsia="pl-PL"/>
        </w:rPr>
        <w:t>2 Ruroci</w:t>
      </w:r>
      <w:r w:rsidRPr="004008D4">
        <w:rPr>
          <w:rFonts w:eastAsia="TimesNewRoman" w:cs="Arial"/>
          <w:i/>
          <w:sz w:val="24"/>
          <w:szCs w:val="24"/>
          <w:lang w:eastAsia="pl-PL"/>
        </w:rPr>
        <w:t>ą</w:t>
      </w:r>
      <w:r w:rsidRPr="004008D4">
        <w:rPr>
          <w:rFonts w:cs="Arial"/>
          <w:i/>
          <w:sz w:val="24"/>
          <w:szCs w:val="24"/>
          <w:lang w:eastAsia="pl-PL"/>
        </w:rPr>
        <w:t>gi</w:t>
      </w:r>
      <w:r w:rsidRPr="004008D4">
        <w:rPr>
          <w:rFonts w:cs="Arial"/>
          <w:i/>
          <w:sz w:val="24"/>
          <w:szCs w:val="24"/>
          <w:u w:val="single"/>
          <w:lang w:eastAsia="pl-PL"/>
        </w:rPr>
        <w:t>, linie telekomunikacyjne i elektroenergetyczne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2</w:t>
      </w:r>
      <w:r w:rsidR="005047B5" w:rsidRPr="004008D4">
        <w:rPr>
          <w:rFonts w:cs="Arial"/>
          <w:i/>
          <w:sz w:val="24"/>
          <w:szCs w:val="24"/>
          <w:lang w:eastAsia="pl-PL"/>
        </w:rPr>
        <w:t>.</w:t>
      </w:r>
      <w:r w:rsidRPr="004008D4">
        <w:rPr>
          <w:rFonts w:cs="Arial"/>
          <w:i/>
          <w:sz w:val="24"/>
          <w:szCs w:val="24"/>
          <w:lang w:eastAsia="pl-PL"/>
        </w:rPr>
        <w:t>3 Kompleksowe budowle na terenach przemysłowych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  <w:lang w:eastAsia="pl-PL"/>
        </w:rPr>
        <w:t>2</w:t>
      </w:r>
      <w:r w:rsidR="005047B5" w:rsidRPr="004008D4">
        <w:rPr>
          <w:rFonts w:cs="Arial"/>
          <w:i/>
          <w:sz w:val="24"/>
          <w:szCs w:val="24"/>
          <w:lang w:eastAsia="pl-PL"/>
        </w:rPr>
        <w:t>.</w:t>
      </w:r>
      <w:r w:rsidRPr="004008D4">
        <w:rPr>
          <w:rFonts w:cs="Arial"/>
          <w:i/>
          <w:sz w:val="24"/>
          <w:szCs w:val="24"/>
          <w:lang w:eastAsia="pl-PL"/>
        </w:rPr>
        <w:t>4 Obiekty inżynierii l</w:t>
      </w:r>
      <w:r w:rsidRPr="004008D4">
        <w:rPr>
          <w:rFonts w:eastAsia="TimesNewRoman" w:cs="Arial"/>
          <w:i/>
          <w:sz w:val="24"/>
          <w:szCs w:val="24"/>
          <w:lang w:eastAsia="pl-PL"/>
        </w:rPr>
        <w:t>ą</w:t>
      </w:r>
      <w:r w:rsidRPr="004008D4">
        <w:rPr>
          <w:rFonts w:cs="Arial"/>
          <w:i/>
          <w:sz w:val="24"/>
          <w:szCs w:val="24"/>
          <w:lang w:eastAsia="pl-PL"/>
        </w:rPr>
        <w:t>dowej i wodnej pozostałe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b/>
          <w:i/>
          <w:sz w:val="24"/>
          <w:szCs w:val="24"/>
        </w:rPr>
        <w:t>2</w:t>
      </w:r>
      <w:r w:rsidR="005047B5" w:rsidRPr="004008D4">
        <w:rPr>
          <w:rFonts w:cs="Arial"/>
          <w:b/>
          <w:i/>
          <w:sz w:val="24"/>
          <w:szCs w:val="24"/>
        </w:rPr>
        <w:t>.</w:t>
      </w:r>
      <w:r w:rsidRPr="004008D4">
        <w:rPr>
          <w:rFonts w:cs="Arial"/>
          <w:b/>
          <w:i/>
          <w:sz w:val="24"/>
          <w:szCs w:val="24"/>
        </w:rPr>
        <w:t xml:space="preserve">111 </w:t>
      </w:r>
      <w:r w:rsidRPr="004008D4">
        <w:rPr>
          <w:rFonts w:cs="Arial"/>
          <w:i/>
          <w:sz w:val="24"/>
          <w:szCs w:val="24"/>
        </w:rPr>
        <w:t>Autostrady i drogi ekspresowe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4008D4">
        <w:rPr>
          <w:rFonts w:cs="Arial"/>
          <w:i/>
          <w:sz w:val="24"/>
          <w:szCs w:val="24"/>
        </w:rPr>
        <w:t xml:space="preserve">Klasa obejmuje: - Autostrady i drogi ekspresowe międzymiastowe, w tym skrzyżowania i węzły wraz z: </w:t>
      </w:r>
      <w:r w:rsidRPr="004008D4">
        <w:rPr>
          <w:rFonts w:cs="Arial"/>
          <w:i/>
          <w:sz w:val="24"/>
          <w:szCs w:val="24"/>
          <w:u w:val="single"/>
        </w:rPr>
        <w:t>instalacjami do oświetlenia dróg i sygnalizacji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  <w:u w:val="single"/>
        </w:rPr>
      </w:pP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b/>
          <w:i/>
          <w:sz w:val="24"/>
          <w:szCs w:val="24"/>
        </w:rPr>
        <w:t>2</w:t>
      </w:r>
      <w:r w:rsidR="005047B5" w:rsidRPr="004008D4">
        <w:rPr>
          <w:rFonts w:cs="Arial"/>
          <w:b/>
          <w:i/>
          <w:sz w:val="24"/>
          <w:szCs w:val="24"/>
        </w:rPr>
        <w:t>.</w:t>
      </w:r>
      <w:r w:rsidRPr="004008D4">
        <w:rPr>
          <w:rFonts w:cs="Arial"/>
          <w:b/>
          <w:i/>
          <w:sz w:val="24"/>
          <w:szCs w:val="24"/>
        </w:rPr>
        <w:t xml:space="preserve">112 </w:t>
      </w:r>
      <w:r w:rsidRPr="004008D4">
        <w:rPr>
          <w:rFonts w:cs="Arial"/>
          <w:i/>
          <w:sz w:val="24"/>
          <w:szCs w:val="24"/>
        </w:rPr>
        <w:t>Ulice i drogi pozostałe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Klasa obejmuje: - Drogi na obszarach miejskich i zamiejskich, w tym: ……………………………….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 xml:space="preserve">wraz z: </w:t>
      </w:r>
      <w:r w:rsidRPr="004008D4">
        <w:rPr>
          <w:rFonts w:cs="Arial"/>
          <w:i/>
          <w:sz w:val="24"/>
          <w:szCs w:val="24"/>
          <w:u w:val="single"/>
        </w:rPr>
        <w:t>instalacjami do oświetlenia dróg i sygnalizacji</w:t>
      </w:r>
    </w:p>
    <w:p w:rsidR="00FE4504" w:rsidRPr="004008D4" w:rsidRDefault="00FE4504" w:rsidP="00F62DEC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b/>
          <w:i/>
          <w:sz w:val="24"/>
          <w:szCs w:val="24"/>
        </w:rPr>
        <w:t>2</w:t>
      </w:r>
      <w:r w:rsidR="005047B5" w:rsidRPr="004008D4">
        <w:rPr>
          <w:rFonts w:cs="Arial"/>
          <w:b/>
          <w:i/>
          <w:sz w:val="24"/>
          <w:szCs w:val="24"/>
        </w:rPr>
        <w:t>.</w:t>
      </w:r>
      <w:r w:rsidRPr="004008D4">
        <w:rPr>
          <w:rFonts w:cs="Arial"/>
          <w:b/>
          <w:i/>
          <w:sz w:val="24"/>
          <w:szCs w:val="24"/>
        </w:rPr>
        <w:t>213</w:t>
      </w:r>
      <w:r w:rsidRPr="004008D4">
        <w:rPr>
          <w:rFonts w:cs="Arial"/>
          <w:i/>
          <w:sz w:val="24"/>
          <w:szCs w:val="24"/>
        </w:rPr>
        <w:t xml:space="preserve">  Linie telekomunikacyjne przesyłowe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Klasa obejmuje: - Linie telekomunikacyjne (nadziemne, podziemne lub podwodne), systemy przekaźnikowe, sieci radiowe, telewizyjne lub kablowe, stacje przekaźnikowe, radary, maszty, wieże i słupy telekomunikacyjne, infrastrukturę radiokomunikacyjną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b/>
          <w:i/>
          <w:sz w:val="24"/>
          <w:szCs w:val="24"/>
        </w:rPr>
        <w:t>2</w:t>
      </w:r>
      <w:r w:rsidR="005047B5" w:rsidRPr="004008D4">
        <w:rPr>
          <w:rFonts w:cs="Arial"/>
          <w:b/>
          <w:i/>
          <w:sz w:val="24"/>
          <w:szCs w:val="24"/>
        </w:rPr>
        <w:t>.</w:t>
      </w:r>
      <w:r w:rsidRPr="004008D4">
        <w:rPr>
          <w:rFonts w:cs="Arial"/>
          <w:b/>
          <w:i/>
          <w:sz w:val="24"/>
          <w:szCs w:val="24"/>
        </w:rPr>
        <w:t>214</w:t>
      </w:r>
      <w:r w:rsidRPr="004008D4">
        <w:rPr>
          <w:rFonts w:cs="Arial"/>
          <w:i/>
          <w:sz w:val="24"/>
          <w:szCs w:val="24"/>
        </w:rPr>
        <w:t xml:space="preserve"> Linie elektroenergetyczne przesyłowe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Klasa obejmuje: - Linie elektroenergetyczne przesyłowe nadziemne lub podziemne,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</w:rPr>
      </w:pP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b/>
          <w:i/>
          <w:sz w:val="24"/>
          <w:szCs w:val="24"/>
          <w:lang w:eastAsia="pl-PL"/>
        </w:rPr>
        <w:t>2</w:t>
      </w:r>
      <w:r w:rsidR="005047B5" w:rsidRPr="004008D4">
        <w:rPr>
          <w:rFonts w:cs="Arial"/>
          <w:b/>
          <w:i/>
          <w:sz w:val="24"/>
          <w:szCs w:val="24"/>
          <w:lang w:eastAsia="pl-PL"/>
        </w:rPr>
        <w:t>.</w:t>
      </w:r>
      <w:r w:rsidRPr="004008D4">
        <w:rPr>
          <w:rFonts w:cs="Arial"/>
          <w:b/>
          <w:i/>
          <w:sz w:val="24"/>
          <w:szCs w:val="24"/>
          <w:lang w:eastAsia="pl-PL"/>
        </w:rPr>
        <w:t>224</w:t>
      </w:r>
      <w:r w:rsidRPr="004008D4">
        <w:rPr>
          <w:rFonts w:cs="Arial"/>
          <w:i/>
          <w:sz w:val="24"/>
          <w:szCs w:val="24"/>
          <w:lang w:eastAsia="pl-PL"/>
        </w:rPr>
        <w:t xml:space="preserve"> Linie elektroenergetyczne i telekomunikacyjne rozdzielcze</w:t>
      </w:r>
    </w:p>
    <w:p w:rsidR="00FE4504" w:rsidRPr="004008D4" w:rsidRDefault="00FE4504" w:rsidP="00F62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Klasa obejmuje: - Linie elektroenergetyczne i telekomunikacyjne rozdzielcze (nadziemne lub podziemne)  i instalacje pomocnicze (stacje i podstacje transformatorowe, słupy telegraficzne, itp.)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  <w:lang w:eastAsia="pl-PL"/>
        </w:rPr>
      </w:pPr>
      <w:r w:rsidRPr="004008D4">
        <w:rPr>
          <w:rFonts w:cs="Arial"/>
          <w:i/>
          <w:sz w:val="24"/>
          <w:szCs w:val="24"/>
          <w:lang w:eastAsia="pl-PL"/>
        </w:rPr>
        <w:t>- Lokalne sieci telewizji kablowej i zwi</w:t>
      </w:r>
      <w:r w:rsidRPr="004008D4">
        <w:rPr>
          <w:rFonts w:eastAsia="TimesNewRoman" w:cs="Arial"/>
          <w:i/>
          <w:sz w:val="24"/>
          <w:szCs w:val="24"/>
          <w:lang w:eastAsia="pl-PL"/>
        </w:rPr>
        <w:t>ą</w:t>
      </w:r>
      <w:r w:rsidRPr="004008D4">
        <w:rPr>
          <w:rFonts w:cs="Arial"/>
          <w:i/>
          <w:sz w:val="24"/>
          <w:szCs w:val="24"/>
          <w:lang w:eastAsia="pl-PL"/>
        </w:rPr>
        <w:t>zane z ni</w:t>
      </w:r>
      <w:r w:rsidRPr="004008D4">
        <w:rPr>
          <w:rFonts w:eastAsia="TimesNewRoman" w:cs="Arial"/>
          <w:i/>
          <w:sz w:val="24"/>
          <w:szCs w:val="24"/>
          <w:lang w:eastAsia="pl-PL"/>
        </w:rPr>
        <w:t xml:space="preserve">ą </w:t>
      </w:r>
      <w:r w:rsidRPr="004008D4">
        <w:rPr>
          <w:rFonts w:cs="Arial"/>
          <w:i/>
          <w:sz w:val="24"/>
          <w:szCs w:val="24"/>
          <w:lang w:eastAsia="pl-PL"/>
        </w:rPr>
        <w:t>anteny zbiorcze</w:t>
      </w:r>
    </w:p>
    <w:p w:rsidR="00FE4504" w:rsidRPr="004008D4" w:rsidRDefault="00FE4504" w:rsidP="00F62DEC">
      <w:pPr>
        <w:spacing w:after="0" w:line="240" w:lineRule="auto"/>
        <w:rPr>
          <w:rFonts w:cs="Arial"/>
          <w:i/>
          <w:sz w:val="24"/>
          <w:szCs w:val="24"/>
          <w:lang w:eastAsia="pl-PL"/>
        </w:rPr>
      </w:pPr>
    </w:p>
    <w:p w:rsidR="00FE4504" w:rsidRPr="004008D4" w:rsidRDefault="00FE4504" w:rsidP="007E37A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4008D4">
        <w:rPr>
          <w:rFonts w:cs="Arial"/>
          <w:i/>
          <w:sz w:val="24"/>
          <w:szCs w:val="24"/>
        </w:rPr>
        <w:t>Biorąc pod uwagę powyższe definicje w zakresie Rozporządzenia CPR są wszystkie rodzaje kabli, w tym kable „zabudowane na stałe” w liniach telekomunikacyjnych i elektroenergetycznych</w:t>
      </w:r>
      <w:r w:rsidR="005047B5" w:rsidRPr="004008D4">
        <w:rPr>
          <w:rFonts w:cs="Arial"/>
          <w:i/>
          <w:sz w:val="24"/>
          <w:szCs w:val="24"/>
        </w:rPr>
        <w:t>,</w:t>
      </w:r>
      <w:r w:rsidRPr="004008D4">
        <w:rPr>
          <w:rFonts w:cs="Arial"/>
          <w:i/>
          <w:sz w:val="24"/>
          <w:szCs w:val="24"/>
        </w:rPr>
        <w:t xml:space="preserve"> a nie tylko kable wewnątrzbudynkowe.</w:t>
      </w:r>
    </w:p>
    <w:p w:rsidR="00915F9B" w:rsidRPr="00A6577E" w:rsidRDefault="00915F9B" w:rsidP="00F62DEC">
      <w:pPr>
        <w:spacing w:after="0" w:line="240" w:lineRule="auto"/>
        <w:rPr>
          <w:rFonts w:ascii="Arial" w:hAnsi="Arial" w:cs="Arial"/>
        </w:rPr>
      </w:pPr>
    </w:p>
    <w:p w:rsidR="007E37AA" w:rsidRDefault="007E37AA" w:rsidP="007E37AA">
      <w:pPr>
        <w:spacing w:after="0" w:line="240" w:lineRule="auto"/>
        <w:jc w:val="both"/>
        <w:rPr>
          <w:rFonts w:cs="Arial"/>
        </w:rPr>
      </w:pPr>
      <w:r w:rsidRPr="007E37AA">
        <w:rPr>
          <w:rFonts w:cs="Arial"/>
        </w:rPr>
        <w:t xml:space="preserve">Rozporządzenie zobowiązuje producentów wyrobów do sporządzenia </w:t>
      </w:r>
      <w:r w:rsidR="00DF6B21" w:rsidRPr="00DF6B21">
        <w:rPr>
          <w:rFonts w:cs="Arial"/>
          <w:b/>
        </w:rPr>
        <w:t>D</w:t>
      </w:r>
      <w:r w:rsidRPr="007E37AA">
        <w:rPr>
          <w:rFonts w:cs="Arial"/>
          <w:b/>
        </w:rPr>
        <w:t xml:space="preserve">eklaracji </w:t>
      </w:r>
      <w:r w:rsidR="00DF6B21">
        <w:rPr>
          <w:rFonts w:cs="Arial"/>
          <w:b/>
        </w:rPr>
        <w:t>W</w:t>
      </w:r>
      <w:r w:rsidRPr="007E37AA">
        <w:rPr>
          <w:rFonts w:cs="Arial"/>
          <w:b/>
        </w:rPr>
        <w:t xml:space="preserve">łaściwości </w:t>
      </w:r>
      <w:r w:rsidR="00DF6B21">
        <w:rPr>
          <w:rFonts w:cs="Arial"/>
          <w:b/>
        </w:rPr>
        <w:t>U</w:t>
      </w:r>
      <w:r w:rsidRPr="007E37AA">
        <w:rPr>
          <w:rFonts w:cs="Arial"/>
          <w:b/>
        </w:rPr>
        <w:t>żytkowych</w:t>
      </w:r>
      <w:r w:rsidRPr="007E37AA">
        <w:rPr>
          <w:rFonts w:cs="Arial"/>
        </w:rPr>
        <w:t xml:space="preserve"> zasadniczych charakterystyk wyrobu w oparciu o dokumentację techniczną i badania próbek zgodnie z zasadami systemu oceny zgodności ustalonymi dla danej grupy wyrobów. </w:t>
      </w:r>
    </w:p>
    <w:p w:rsidR="008D3B8D" w:rsidRDefault="008D3B8D" w:rsidP="008D3B8D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8D3B8D" w:rsidTr="008D3B8D">
        <w:trPr>
          <w:trHeight w:val="140"/>
        </w:trPr>
        <w:tc>
          <w:tcPr>
            <w:tcW w:w="2943" w:type="dxa"/>
            <w:vAlign w:val="center"/>
          </w:tcPr>
          <w:p w:rsidR="008D3B8D" w:rsidRPr="008D3B8D" w:rsidRDefault="008D3B8D" w:rsidP="008D3B8D">
            <w:pPr>
              <w:pStyle w:val="Default"/>
              <w:jc w:val="center"/>
            </w:pPr>
            <w:r w:rsidRPr="008D3B8D">
              <w:rPr>
                <w:b/>
                <w:bCs/>
              </w:rPr>
              <w:t>KLASA ODPORNOŚCI OGNIOWEJ KABLI</w:t>
            </w:r>
          </w:p>
        </w:tc>
        <w:tc>
          <w:tcPr>
            <w:tcW w:w="6379" w:type="dxa"/>
            <w:vAlign w:val="center"/>
          </w:tcPr>
          <w:p w:rsidR="008D3B8D" w:rsidRPr="008D3B8D" w:rsidRDefault="008D3B8D" w:rsidP="008D3B8D">
            <w:pPr>
              <w:pStyle w:val="Default"/>
              <w:jc w:val="center"/>
            </w:pPr>
            <w:r w:rsidRPr="008D3B8D">
              <w:rPr>
                <w:b/>
                <w:bCs/>
              </w:rPr>
              <w:t>SYSTEM OCENY ZGODNOŚCI</w:t>
            </w:r>
          </w:p>
        </w:tc>
      </w:tr>
      <w:tr w:rsidR="008D3B8D" w:rsidTr="008D3B8D">
        <w:trPr>
          <w:trHeight w:val="601"/>
        </w:trPr>
        <w:tc>
          <w:tcPr>
            <w:tcW w:w="2943" w:type="dxa"/>
          </w:tcPr>
          <w:p w:rsidR="008D3B8D" w:rsidRPr="008D3B8D" w:rsidRDefault="008D3B8D">
            <w:pPr>
              <w:pStyle w:val="Default"/>
            </w:pPr>
            <w:r w:rsidRPr="008D3B8D">
              <w:rPr>
                <w:b/>
                <w:bCs/>
              </w:rPr>
              <w:t xml:space="preserve">Aca; B1ca; B2ca; Cca </w:t>
            </w:r>
          </w:p>
        </w:tc>
        <w:tc>
          <w:tcPr>
            <w:tcW w:w="6379" w:type="dxa"/>
          </w:tcPr>
          <w:p w:rsidR="008D3B8D" w:rsidRPr="008D3B8D" w:rsidRDefault="008D3B8D" w:rsidP="008D3B8D">
            <w:pPr>
              <w:pStyle w:val="Default"/>
            </w:pPr>
            <w:r w:rsidRPr="008D3B8D">
              <w:rPr>
                <w:b/>
              </w:rPr>
              <w:t xml:space="preserve">1+ </w:t>
            </w:r>
            <w:r w:rsidRPr="008D3B8D">
              <w:t xml:space="preserve">(udział jednostki notyfikowanej do CPR -badanie kabla oraz certyfikacja zakładowej kontroli jakości) </w:t>
            </w:r>
          </w:p>
        </w:tc>
      </w:tr>
      <w:tr w:rsidR="008D3B8D" w:rsidTr="008D3B8D">
        <w:trPr>
          <w:trHeight w:val="380"/>
        </w:trPr>
        <w:tc>
          <w:tcPr>
            <w:tcW w:w="2943" w:type="dxa"/>
          </w:tcPr>
          <w:p w:rsidR="008D3B8D" w:rsidRPr="008D3B8D" w:rsidRDefault="008D3B8D">
            <w:pPr>
              <w:pStyle w:val="Default"/>
            </w:pPr>
            <w:r w:rsidRPr="008D3B8D">
              <w:rPr>
                <w:b/>
                <w:bCs/>
              </w:rPr>
              <w:t xml:space="preserve">Dca; Eca </w:t>
            </w:r>
          </w:p>
        </w:tc>
        <w:tc>
          <w:tcPr>
            <w:tcW w:w="6379" w:type="dxa"/>
          </w:tcPr>
          <w:p w:rsidR="008D3B8D" w:rsidRPr="008D3B8D" w:rsidRDefault="008D3B8D" w:rsidP="008D3B8D">
            <w:pPr>
              <w:pStyle w:val="Default"/>
            </w:pPr>
            <w:r w:rsidRPr="008D3B8D">
              <w:rPr>
                <w:b/>
              </w:rPr>
              <w:t xml:space="preserve">3 </w:t>
            </w:r>
            <w:r w:rsidRPr="008D3B8D">
              <w:t xml:space="preserve">(udział jednostki notyfikowanej do CPR -badanie kabla) </w:t>
            </w:r>
          </w:p>
        </w:tc>
      </w:tr>
      <w:tr w:rsidR="008D3B8D" w:rsidTr="008D3B8D">
        <w:trPr>
          <w:trHeight w:val="380"/>
        </w:trPr>
        <w:tc>
          <w:tcPr>
            <w:tcW w:w="2943" w:type="dxa"/>
          </w:tcPr>
          <w:p w:rsidR="008D3B8D" w:rsidRPr="008D3B8D" w:rsidRDefault="008D3B8D">
            <w:pPr>
              <w:pStyle w:val="Default"/>
            </w:pPr>
            <w:r w:rsidRPr="008D3B8D">
              <w:rPr>
                <w:b/>
                <w:bCs/>
              </w:rPr>
              <w:t xml:space="preserve">Fca </w:t>
            </w:r>
          </w:p>
        </w:tc>
        <w:tc>
          <w:tcPr>
            <w:tcW w:w="6379" w:type="dxa"/>
          </w:tcPr>
          <w:p w:rsidR="008D3B8D" w:rsidRPr="008D3B8D" w:rsidRDefault="008D3B8D" w:rsidP="008D3B8D">
            <w:pPr>
              <w:pStyle w:val="Default"/>
            </w:pPr>
            <w:r w:rsidRPr="008D3B8D">
              <w:rPr>
                <w:b/>
              </w:rPr>
              <w:t xml:space="preserve">4 </w:t>
            </w:r>
            <w:r w:rsidRPr="008D3B8D">
              <w:t xml:space="preserve">(bez udziału jednostki notyfikowanej) </w:t>
            </w:r>
          </w:p>
        </w:tc>
      </w:tr>
    </w:tbl>
    <w:p w:rsidR="008D3B8D" w:rsidRDefault="008D3B8D" w:rsidP="007E37AA">
      <w:pPr>
        <w:spacing w:after="0" w:line="240" w:lineRule="auto"/>
        <w:jc w:val="both"/>
        <w:rPr>
          <w:rFonts w:cs="Arial"/>
        </w:rPr>
      </w:pP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  <w:r w:rsidRPr="00DF6B21">
        <w:rPr>
          <w:rFonts w:cs="Arial"/>
        </w:rPr>
        <w:lastRenderedPageBreak/>
        <w:t>Deklarację właściwości użytkowych sporządza się stosując wzór przedstawiony w załączniku III Rozporządzenia NR 305/2011</w:t>
      </w:r>
      <w:r w:rsidR="008D3B8D" w:rsidRPr="008D3B8D">
        <w:t xml:space="preserve"> </w:t>
      </w:r>
      <w:r w:rsidR="008D3B8D" w:rsidRPr="008D3B8D">
        <w:rPr>
          <w:rFonts w:cs="Arial"/>
        </w:rPr>
        <w:t>oraz publikuje do pobrania na stronie internetowej</w:t>
      </w:r>
      <w:r w:rsidR="008D3B8D">
        <w:rPr>
          <w:rFonts w:cs="Arial"/>
        </w:rPr>
        <w:t xml:space="preserve"> producenta</w:t>
      </w:r>
      <w:r w:rsidR="008D3B8D" w:rsidRPr="008D3B8D">
        <w:rPr>
          <w:rFonts w:cs="Arial"/>
        </w:rPr>
        <w:t>.</w:t>
      </w: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  <w:r w:rsidRPr="00DF6B21">
        <w:rPr>
          <w:rFonts w:cs="Arial"/>
        </w:rPr>
        <w:t>Kopię deklaracji właściwości użytkowych producent dostarcza na żądanie odbiorcy w formie papierowej albo przesyła ją drogą elektroniczną.</w:t>
      </w: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  <w:r w:rsidRPr="00DF6B21">
        <w:rPr>
          <w:rFonts w:cs="Arial"/>
        </w:rPr>
        <w:t>Producenci sporządzają, jako podstawę do deklaracji właściwości użytkowych, dokumentację techniczną opisującą wszystkie istotne elementy związane z wymaganym systemem oceny i weryfikacji stałości właściwości użytkowych.</w:t>
      </w: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  <w:r w:rsidRPr="00DF6B21">
        <w:rPr>
          <w:rFonts w:cs="Arial"/>
        </w:rPr>
        <w:t>Producenci przechowują dokumentację techniczną oraz deklarację właściwości użytkowych przez okres 10 lat od momentu wprowadzenia wyrobu budowlanego do obrotu.</w:t>
      </w: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  <w:r w:rsidRPr="00DF6B21">
        <w:rPr>
          <w:rFonts w:cs="Arial"/>
        </w:rPr>
        <w:t>DoP musi być wydana w języku kraju do którego sprzedawany jest wyrób.</w:t>
      </w:r>
    </w:p>
    <w:p w:rsidR="00DF6B21" w:rsidRPr="00DF6B21" w:rsidRDefault="00DF6B21" w:rsidP="00DF6B21">
      <w:pPr>
        <w:spacing w:after="0" w:line="240" w:lineRule="auto"/>
        <w:jc w:val="both"/>
        <w:rPr>
          <w:rFonts w:cs="Arial"/>
        </w:rPr>
      </w:pPr>
    </w:p>
    <w:p w:rsidR="00DF6B21" w:rsidRPr="007E37AA" w:rsidRDefault="00DF6B21" w:rsidP="00DF6B21">
      <w:pPr>
        <w:spacing w:after="0" w:line="240" w:lineRule="auto"/>
        <w:jc w:val="both"/>
        <w:rPr>
          <w:rFonts w:cs="Arial"/>
        </w:rPr>
      </w:pPr>
      <w:r w:rsidRPr="00DF6B21">
        <w:rPr>
          <w:rFonts w:cs="Arial"/>
        </w:rPr>
        <w:t>Na kablach</w:t>
      </w:r>
      <w:r w:rsidR="008D3B8D">
        <w:rPr>
          <w:rFonts w:cs="Arial"/>
        </w:rPr>
        <w:t xml:space="preserve"> i/lub etykietach wyrobów</w:t>
      </w:r>
      <w:r w:rsidRPr="00DF6B21">
        <w:rPr>
          <w:rFonts w:cs="Arial"/>
        </w:rPr>
        <w:t xml:space="preserve"> dla których producent sporządził deklarację właściwości użytkowych umieszcza się oznakowanie CE.</w:t>
      </w:r>
    </w:p>
    <w:p w:rsidR="007E37AA" w:rsidRPr="007E37AA" w:rsidRDefault="007E37AA" w:rsidP="007E37AA">
      <w:pPr>
        <w:spacing w:after="0" w:line="240" w:lineRule="auto"/>
        <w:rPr>
          <w:rFonts w:ascii="Arial" w:hAnsi="Arial" w:cs="Arial"/>
          <w:color w:val="1F497D"/>
        </w:rPr>
      </w:pPr>
    </w:p>
    <w:p w:rsidR="00544943" w:rsidRDefault="00544943" w:rsidP="00F62DEC">
      <w:pPr>
        <w:spacing w:after="0" w:line="240" w:lineRule="auto"/>
        <w:rPr>
          <w:rFonts w:ascii="Arial" w:hAnsi="Arial" w:cs="Arial"/>
        </w:rPr>
      </w:pPr>
    </w:p>
    <w:p w:rsidR="00A6577E" w:rsidRPr="00AC081A" w:rsidRDefault="00C91321" w:rsidP="00650B18">
      <w:pPr>
        <w:pStyle w:val="Akapitzlist"/>
        <w:numPr>
          <w:ilvl w:val="0"/>
          <w:numId w:val="1"/>
        </w:numPr>
        <w:ind w:left="720"/>
        <w:rPr>
          <w:b/>
          <w:sz w:val="28"/>
          <w:szCs w:val="28"/>
        </w:rPr>
      </w:pPr>
      <w:r w:rsidRPr="000131C6">
        <w:rPr>
          <w:b/>
          <w:sz w:val="28"/>
          <w:szCs w:val="28"/>
        </w:rPr>
        <w:t>Kable i przewody zasilające obwody odpowiedzialne za bezpieczeństwo pożarowe.</w:t>
      </w:r>
      <w:r w:rsidR="005047B5" w:rsidRPr="005047B5">
        <w:t xml:space="preserve"> </w:t>
      </w:r>
    </w:p>
    <w:p w:rsidR="00AC081A" w:rsidRPr="00AC081A" w:rsidRDefault="00AC081A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C081A">
        <w:rPr>
          <w:sz w:val="24"/>
          <w:szCs w:val="24"/>
        </w:rPr>
        <w:t>W budynkach oprócz instalacji zasilających obwody użytkowe oraz telekomunikacyjne występują często instalacje odpowiedzialne ze bezpieczeństwo pożarowe. W większości przypadków odpowiadają za wczesne wykrycie, alarmowanie i rozgłaszanie sygnałów</w:t>
      </w:r>
      <w:r w:rsidR="00650B18">
        <w:rPr>
          <w:sz w:val="24"/>
          <w:szCs w:val="24"/>
        </w:rPr>
        <w:t xml:space="preserve">                       </w:t>
      </w:r>
      <w:r w:rsidRPr="00AC081A">
        <w:rPr>
          <w:sz w:val="24"/>
          <w:szCs w:val="24"/>
        </w:rPr>
        <w:t xml:space="preserve"> i komunikatów ewakuacyjnych, a także zasilanie i sterowanie urządzeń przeciwpożarowych.</w:t>
      </w:r>
    </w:p>
    <w:p w:rsidR="00AC081A" w:rsidRDefault="00AC081A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C081A">
        <w:rPr>
          <w:sz w:val="24"/>
          <w:szCs w:val="24"/>
        </w:rPr>
        <w:t>Kable takie</w:t>
      </w:r>
      <w:r>
        <w:rPr>
          <w:sz w:val="24"/>
          <w:szCs w:val="24"/>
        </w:rPr>
        <w:t xml:space="preserve"> z reguły</w:t>
      </w:r>
      <w:r w:rsidRPr="00AC081A">
        <w:rPr>
          <w:sz w:val="24"/>
          <w:szCs w:val="24"/>
        </w:rPr>
        <w:t xml:space="preserve"> podlegają pod Dyrektywę niskonapięciową i muszą spełnić pełną procedurę z końcowym naniesieniem znaku CE.</w:t>
      </w:r>
    </w:p>
    <w:p w:rsidR="00E21314" w:rsidRDefault="00E21314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21314" w:rsidRPr="00E21314" w:rsidRDefault="00E21314" w:rsidP="00650B1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E21314">
        <w:rPr>
          <w:b/>
          <w:sz w:val="24"/>
          <w:szCs w:val="24"/>
        </w:rPr>
        <w:t>Krajowa Deklaracja Własności Użytkowych (KDWU)</w:t>
      </w:r>
    </w:p>
    <w:p w:rsidR="00E21314" w:rsidRPr="00E21314" w:rsidRDefault="00AC081A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21314">
        <w:rPr>
          <w:sz w:val="24"/>
          <w:szCs w:val="24"/>
        </w:rPr>
        <w:t>K</w:t>
      </w:r>
      <w:r w:rsidR="005047B5" w:rsidRPr="00E21314">
        <w:rPr>
          <w:sz w:val="24"/>
          <w:szCs w:val="24"/>
        </w:rPr>
        <w:t>able i przewody do instalacji pożarowych</w:t>
      </w:r>
      <w:r w:rsidR="00650B18">
        <w:rPr>
          <w:sz w:val="24"/>
          <w:szCs w:val="24"/>
        </w:rPr>
        <w:t xml:space="preserve"> są wyłączone z zakresu normy PN-EN 50575 zharmonizowanej z Rozporządzeniem CPR. </w:t>
      </w:r>
      <w:r w:rsidR="00CF7E33">
        <w:rPr>
          <w:sz w:val="24"/>
          <w:szCs w:val="24"/>
        </w:rPr>
        <w:t>Dlatego p</w:t>
      </w:r>
      <w:r w:rsidR="005047B5" w:rsidRPr="00E21314">
        <w:rPr>
          <w:sz w:val="24"/>
          <w:szCs w:val="24"/>
        </w:rPr>
        <w:t>odlegają pod</w:t>
      </w:r>
      <w:r w:rsidR="00FD407D">
        <w:rPr>
          <w:sz w:val="24"/>
          <w:szCs w:val="24"/>
        </w:rPr>
        <w:t xml:space="preserve"> </w:t>
      </w:r>
      <w:r w:rsidR="00650B18" w:rsidRPr="00BA309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17 listopada 2016 r. w sprawie sposobu deklarowania właściwości użytkowych wyrobów budowlanych oraz sposobu znakowania ich znakiem budowlanym</w:t>
      </w:r>
      <w:r w:rsidR="00FD407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FD407D" w:rsidRPr="00BA3092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poz. 1966</w:t>
      </w:r>
      <w:r w:rsidR="00FD407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047B5" w:rsidRPr="00E21314">
        <w:rPr>
          <w:sz w:val="24"/>
          <w:szCs w:val="24"/>
        </w:rPr>
        <w:t>.</w:t>
      </w:r>
      <w:r w:rsidR="00FD407D" w:rsidRPr="00FD407D">
        <w:rPr>
          <w:sz w:val="24"/>
          <w:szCs w:val="24"/>
        </w:rPr>
        <w:t xml:space="preserve"> </w:t>
      </w:r>
    </w:p>
    <w:p w:rsidR="00A6577E" w:rsidRPr="00E21314" w:rsidRDefault="00A6577E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21314">
        <w:rPr>
          <w:sz w:val="24"/>
          <w:szCs w:val="24"/>
        </w:rPr>
        <w:t>Rozporządzenie przewiduje, że dla wyrobów</w:t>
      </w:r>
      <w:r w:rsidR="00FD407D">
        <w:rPr>
          <w:sz w:val="24"/>
          <w:szCs w:val="24"/>
        </w:rPr>
        <w:t xml:space="preserve">, które nie są objęte normą krajową </w:t>
      </w:r>
      <w:r w:rsidR="00FD407D" w:rsidRPr="00A83000">
        <w:rPr>
          <w:sz w:val="24"/>
          <w:szCs w:val="24"/>
        </w:rPr>
        <w:t>(norma nie może mieć statusu normy wycofanej)</w:t>
      </w:r>
      <w:r w:rsidR="00FD407D">
        <w:rPr>
          <w:sz w:val="24"/>
          <w:szCs w:val="24"/>
        </w:rPr>
        <w:t xml:space="preserve"> </w:t>
      </w:r>
      <w:r w:rsidRPr="00E21314">
        <w:rPr>
          <w:sz w:val="24"/>
          <w:szCs w:val="24"/>
        </w:rPr>
        <w:t>należy opracować Krajową Ocenę Techniczną</w:t>
      </w:r>
      <w:r w:rsidR="00FD407D">
        <w:rPr>
          <w:sz w:val="24"/>
          <w:szCs w:val="24"/>
        </w:rPr>
        <w:t>.</w:t>
      </w:r>
      <w:r w:rsidRPr="00E21314">
        <w:rPr>
          <w:sz w:val="24"/>
          <w:szCs w:val="24"/>
        </w:rPr>
        <w:t xml:space="preserve"> </w:t>
      </w:r>
    </w:p>
    <w:p w:rsidR="00FD407D" w:rsidRDefault="00A6577E" w:rsidP="00650B1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314">
        <w:rPr>
          <w:sz w:val="24"/>
          <w:szCs w:val="24"/>
        </w:rPr>
        <w:t>Zlecenie opracowania Krajowej Oceny Technicznej jest obowiązkiem producenta.</w:t>
      </w:r>
      <w:r w:rsidR="00E21314" w:rsidRPr="00E21314">
        <w:rPr>
          <w:sz w:val="24"/>
          <w:szCs w:val="24"/>
        </w:rPr>
        <w:t xml:space="preserve"> </w:t>
      </w:r>
      <w:r w:rsidR="00FD407D">
        <w:rPr>
          <w:sz w:val="24"/>
          <w:szCs w:val="24"/>
        </w:rPr>
        <w:t xml:space="preserve">Zasady jej opracowania reguluje </w:t>
      </w:r>
      <w:r w:rsidR="00FD407D" w:rsidRPr="00240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17 listopada 2016 r. w sprawie krajowych ocen technicznych</w:t>
      </w:r>
      <w:r w:rsidR="00FD407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FD407D" w:rsidRPr="002404C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poz. 1968</w:t>
      </w:r>
      <w:r w:rsidR="00FD407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0D2F2C" w:rsidRPr="00A83000" w:rsidRDefault="000D2F2C" w:rsidP="000D2F2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A83000">
        <w:rPr>
          <w:sz w:val="24"/>
          <w:szCs w:val="24"/>
        </w:rPr>
        <w:t xml:space="preserve">rajowa </w:t>
      </w:r>
      <w:r>
        <w:rPr>
          <w:sz w:val="24"/>
          <w:szCs w:val="24"/>
        </w:rPr>
        <w:t>Ocena T</w:t>
      </w:r>
      <w:r w:rsidRPr="00A83000">
        <w:rPr>
          <w:sz w:val="24"/>
          <w:szCs w:val="24"/>
        </w:rPr>
        <w:t>echniczna, zastąpiła od 1 stycznia 20</w:t>
      </w:r>
      <w:r>
        <w:rPr>
          <w:sz w:val="24"/>
          <w:szCs w:val="24"/>
        </w:rPr>
        <w:t>17, krajowe aprobaty techniczne</w:t>
      </w:r>
      <w:r w:rsidRPr="00A83000">
        <w:rPr>
          <w:sz w:val="24"/>
          <w:szCs w:val="24"/>
        </w:rPr>
        <w:t>.</w:t>
      </w:r>
    </w:p>
    <w:p w:rsidR="00FD407D" w:rsidRDefault="000D2F2C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raport z badań właściwości użytkowych określonych w KOT oraz raport klasyfikacyjny wystawiony przez Jednostkę Notyfikowaną producent kabla wystawia </w:t>
      </w:r>
      <w:r>
        <w:rPr>
          <w:sz w:val="24"/>
          <w:szCs w:val="24"/>
        </w:rPr>
        <w:t>Krajową Deklarację</w:t>
      </w:r>
      <w:r w:rsidRPr="00E21314">
        <w:rPr>
          <w:sz w:val="24"/>
          <w:szCs w:val="24"/>
        </w:rPr>
        <w:t xml:space="preserve"> Właściwości Użytkowych (KDWU)</w:t>
      </w:r>
      <w:r>
        <w:rPr>
          <w:sz w:val="24"/>
          <w:szCs w:val="24"/>
        </w:rPr>
        <w:t xml:space="preserve"> wg wzoru zawartego w Rozporządzeniu </w:t>
      </w:r>
      <w:r w:rsidRPr="00BA30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listopada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1314" w:rsidRPr="00E21314" w:rsidRDefault="00E21314" w:rsidP="00650B1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21314">
        <w:rPr>
          <w:sz w:val="24"/>
          <w:szCs w:val="24"/>
        </w:rPr>
        <w:t>Krajowa Deklaracja Właściwości Użytkowych (KDWU) - obowiązuje dla kabli i  tras kablowych od 30 czerwca 2018 roku.</w:t>
      </w:r>
    </w:p>
    <w:p w:rsidR="00AC2645" w:rsidRDefault="00AC2645" w:rsidP="00AC2645">
      <w:pPr>
        <w:pStyle w:val="Akapitzlist"/>
        <w:ind w:left="0"/>
        <w:jc w:val="both"/>
        <w:rPr>
          <w:sz w:val="24"/>
          <w:szCs w:val="24"/>
        </w:rPr>
      </w:pPr>
      <w:r w:rsidRPr="00E21314">
        <w:rPr>
          <w:sz w:val="24"/>
          <w:szCs w:val="24"/>
        </w:rPr>
        <w:lastRenderedPageBreak/>
        <w:t xml:space="preserve">Kable i przewody do instalacji </w:t>
      </w:r>
      <w:r>
        <w:rPr>
          <w:sz w:val="24"/>
          <w:szCs w:val="24"/>
        </w:rPr>
        <w:t xml:space="preserve">pożarowych mogą być stosowane wyłącznie </w:t>
      </w:r>
      <w:r w:rsidRPr="00AC2645">
        <w:rPr>
          <w:rFonts w:eastAsia="Times New Roman" w:cstheme="minorHAnsi"/>
          <w:sz w:val="24"/>
          <w:szCs w:val="24"/>
          <w:lang w:eastAsia="pl-PL"/>
        </w:rPr>
        <w:t>po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2645">
        <w:rPr>
          <w:rFonts w:eastAsia="Times New Roman" w:cstheme="minorHAnsi"/>
          <w:sz w:val="24"/>
          <w:szCs w:val="24"/>
          <w:lang w:eastAsia="pl-PL"/>
        </w:rPr>
        <w:t xml:space="preserve">uprzednim uzyskaniu </w:t>
      </w:r>
      <w:r w:rsidRPr="00BF5A28">
        <w:rPr>
          <w:rFonts w:eastAsia="Times New Roman" w:cstheme="minorHAnsi"/>
          <w:b/>
          <w:sz w:val="24"/>
          <w:szCs w:val="24"/>
          <w:lang w:eastAsia="pl-PL"/>
        </w:rPr>
        <w:t xml:space="preserve">świadectwa </w:t>
      </w:r>
      <w:r w:rsidRPr="00AC2645">
        <w:rPr>
          <w:rFonts w:eastAsia="Times New Roman" w:cstheme="minorHAnsi"/>
          <w:b/>
          <w:sz w:val="24"/>
          <w:szCs w:val="24"/>
          <w:lang w:eastAsia="pl-PL"/>
        </w:rPr>
        <w:t>dopuszczenia</w:t>
      </w:r>
      <w:r w:rsidRPr="00AC2645">
        <w:rPr>
          <w:rFonts w:eastAsia="Times New Roman" w:cstheme="minorHAnsi"/>
          <w:sz w:val="24"/>
          <w:szCs w:val="24"/>
          <w:lang w:eastAsia="pl-PL"/>
        </w:rPr>
        <w:t xml:space="preserve"> do użytkowania</w:t>
      </w:r>
      <w:r>
        <w:rPr>
          <w:rFonts w:eastAsia="Times New Roman" w:cstheme="minorHAnsi"/>
          <w:sz w:val="24"/>
          <w:szCs w:val="24"/>
          <w:lang w:eastAsia="pl-PL"/>
        </w:rPr>
        <w:t xml:space="preserve">, wydanego przez akredytowaną jednostkę badawczą np. </w:t>
      </w:r>
      <w:r w:rsidRPr="007073B0">
        <w:rPr>
          <w:sz w:val="24"/>
          <w:szCs w:val="24"/>
        </w:rPr>
        <w:t>Centrum Naukowo-Badawcze Ochrony Przeciwpożarowej</w:t>
      </w:r>
      <w:r>
        <w:rPr>
          <w:sz w:val="24"/>
          <w:szCs w:val="24"/>
        </w:rPr>
        <w:t>.</w:t>
      </w:r>
    </w:p>
    <w:p w:rsidR="00CF7E33" w:rsidRDefault="0032404B" w:rsidP="00CF7E33">
      <w:pPr>
        <w:pStyle w:val="Akapitzlist"/>
        <w:spacing w:after="0" w:line="240" w:lineRule="auto"/>
        <w:ind w:left="0"/>
        <w:rPr>
          <w:sz w:val="24"/>
          <w:szCs w:val="24"/>
        </w:rPr>
      </w:pPr>
      <w:hyperlink r:id="rId6" w:history="1">
        <w:r w:rsidR="00CF7E33" w:rsidRPr="002172C5">
          <w:rPr>
            <w:rStyle w:val="Hipercze"/>
            <w:sz w:val="24"/>
            <w:szCs w:val="24"/>
          </w:rPr>
          <w:t>http://www.cnbop.pl/swiadectwa_dopuszczenia</w:t>
        </w:r>
      </w:hyperlink>
      <w:r w:rsidR="00CF7E33">
        <w:rPr>
          <w:sz w:val="24"/>
          <w:szCs w:val="24"/>
        </w:rPr>
        <w:t xml:space="preserve"> </w:t>
      </w:r>
    </w:p>
    <w:p w:rsidR="00BF5A28" w:rsidRPr="00BF5A28" w:rsidRDefault="00CF7E33" w:rsidP="00BF5A28">
      <w:pPr>
        <w:pStyle w:val="Akapitzlist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BF5A28" w:rsidRPr="00BF5A28">
        <w:rPr>
          <w:rFonts w:eastAsia="Times New Roman" w:cstheme="minorHAnsi"/>
          <w:sz w:val="24"/>
          <w:szCs w:val="24"/>
          <w:lang w:eastAsia="pl-PL"/>
        </w:rPr>
        <w:t>Dopuszczony kabel podlega oznakowaniu przez producenta znakiem jednostki dopuszczającej oraz numerem świadectwa dopuszczenia</w:t>
      </w:r>
    </w:p>
    <w:p w:rsidR="00BF5A28" w:rsidRDefault="00BF5A28" w:rsidP="00BF5A28">
      <w:pPr>
        <w:pStyle w:val="Akapitzlist"/>
        <w:ind w:left="0"/>
        <w:jc w:val="both"/>
        <w:rPr>
          <w:sz w:val="24"/>
          <w:szCs w:val="24"/>
        </w:rPr>
      </w:pPr>
      <w:r w:rsidRPr="00E21314">
        <w:rPr>
          <w:b/>
          <w:sz w:val="24"/>
          <w:szCs w:val="24"/>
        </w:rPr>
        <w:t>Świadectwo dopuszczenia</w:t>
      </w:r>
      <w:r>
        <w:rPr>
          <w:b/>
          <w:sz w:val="24"/>
          <w:szCs w:val="24"/>
        </w:rPr>
        <w:t xml:space="preserve"> </w:t>
      </w:r>
      <w:r w:rsidRPr="00BF5A28">
        <w:rPr>
          <w:sz w:val="24"/>
          <w:szCs w:val="24"/>
        </w:rPr>
        <w:t>wydawane jest</w:t>
      </w:r>
      <w:r>
        <w:rPr>
          <w:sz w:val="24"/>
          <w:szCs w:val="24"/>
        </w:rPr>
        <w:t xml:space="preserve"> w oparciu o Polską Normę lub KOT.</w:t>
      </w:r>
    </w:p>
    <w:p w:rsidR="00512190" w:rsidRDefault="00A6577E" w:rsidP="00CF7E33">
      <w:pPr>
        <w:pStyle w:val="Akapitzlist"/>
        <w:ind w:left="0"/>
        <w:jc w:val="both"/>
        <w:rPr>
          <w:sz w:val="24"/>
          <w:szCs w:val="24"/>
        </w:rPr>
      </w:pPr>
      <w:r w:rsidRPr="00E21314">
        <w:rPr>
          <w:sz w:val="24"/>
          <w:szCs w:val="24"/>
        </w:rPr>
        <w:t>Wszystkie dokumenty takie jak Aprobata techniczna</w:t>
      </w:r>
      <w:r w:rsidR="00BF5A28">
        <w:rPr>
          <w:sz w:val="24"/>
          <w:szCs w:val="24"/>
        </w:rPr>
        <w:t>,</w:t>
      </w:r>
      <w:r w:rsidRPr="00E21314">
        <w:rPr>
          <w:sz w:val="24"/>
          <w:szCs w:val="24"/>
        </w:rPr>
        <w:t xml:space="preserve"> certyfikaty i </w:t>
      </w:r>
      <w:r w:rsidR="006C1088">
        <w:rPr>
          <w:sz w:val="24"/>
          <w:szCs w:val="24"/>
        </w:rPr>
        <w:t xml:space="preserve">świadectwa </w:t>
      </w:r>
      <w:r w:rsidRPr="00E21314">
        <w:rPr>
          <w:sz w:val="24"/>
          <w:szCs w:val="24"/>
        </w:rPr>
        <w:t>dopuszczenia wydane przez CNBOP</w:t>
      </w:r>
      <w:r w:rsidR="00BF5A28">
        <w:rPr>
          <w:sz w:val="24"/>
          <w:szCs w:val="24"/>
        </w:rPr>
        <w:t xml:space="preserve"> </w:t>
      </w:r>
      <w:r w:rsidR="00BF5A28" w:rsidRPr="00CF7E33">
        <w:rPr>
          <w:sz w:val="24"/>
          <w:szCs w:val="24"/>
          <w:u w:val="single"/>
        </w:rPr>
        <w:t>prze</w:t>
      </w:r>
      <w:r w:rsidR="00CF7E33" w:rsidRPr="00CF7E33">
        <w:rPr>
          <w:sz w:val="24"/>
          <w:szCs w:val="24"/>
          <w:u w:val="single"/>
        </w:rPr>
        <w:t>d</w:t>
      </w:r>
      <w:r w:rsidR="00BF5A28" w:rsidRPr="00CF7E33">
        <w:rPr>
          <w:sz w:val="24"/>
          <w:szCs w:val="24"/>
          <w:u w:val="single"/>
        </w:rPr>
        <w:t xml:space="preserve"> dniem 1 stycznia 2017r</w:t>
      </w:r>
      <w:r w:rsidRPr="00E21314">
        <w:rPr>
          <w:sz w:val="24"/>
          <w:szCs w:val="24"/>
        </w:rPr>
        <w:t xml:space="preserve"> mogą być wykorzystywane do końca okresu ich ważności</w:t>
      </w:r>
      <w:r w:rsidR="00CF7E33">
        <w:rPr>
          <w:sz w:val="24"/>
          <w:szCs w:val="24"/>
        </w:rPr>
        <w:t>.</w:t>
      </w:r>
    </w:p>
    <w:p w:rsidR="00E21314" w:rsidRDefault="00E21314" w:rsidP="00CF7E33">
      <w:pPr>
        <w:pStyle w:val="Akapitzlist"/>
        <w:ind w:left="1080"/>
        <w:jc w:val="both"/>
        <w:rPr>
          <w:sz w:val="24"/>
          <w:szCs w:val="24"/>
        </w:rPr>
      </w:pPr>
    </w:p>
    <w:p w:rsidR="00A3209F" w:rsidRPr="006F1A87" w:rsidRDefault="00242D02" w:rsidP="00656F92">
      <w:pPr>
        <w:pStyle w:val="Akapitzlist"/>
        <w:numPr>
          <w:ilvl w:val="0"/>
          <w:numId w:val="1"/>
        </w:numPr>
        <w:ind w:left="720"/>
        <w:rPr>
          <w:b/>
          <w:sz w:val="28"/>
          <w:szCs w:val="28"/>
        </w:rPr>
      </w:pPr>
      <w:r w:rsidRPr="006F1A87">
        <w:rPr>
          <w:b/>
          <w:sz w:val="28"/>
          <w:szCs w:val="28"/>
        </w:rPr>
        <w:t>Kable w tunelach metra</w:t>
      </w:r>
      <w:r w:rsidR="00E37AF7" w:rsidRPr="006F1A87">
        <w:rPr>
          <w:b/>
          <w:sz w:val="28"/>
          <w:szCs w:val="28"/>
        </w:rPr>
        <w:t xml:space="preserve"> i tunelach kolejowych</w:t>
      </w:r>
    </w:p>
    <w:p w:rsidR="00CC7C22" w:rsidRPr="00656F92" w:rsidRDefault="00242D02" w:rsidP="00656F9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56F92">
        <w:rPr>
          <w:b/>
          <w:sz w:val="24"/>
          <w:szCs w:val="24"/>
        </w:rPr>
        <w:t>ROZPORZĄDZENIE MINISTRA INFRASTRUKTURY z dnia 17 czerwca 2011 r. w sprawie warunków technicznych, jakim powinny odpowiadać obiekty budowlane metra i ich usytuowanie.</w:t>
      </w:r>
    </w:p>
    <w:p w:rsidR="00242D02" w:rsidRDefault="00242D02" w:rsidP="00656F92">
      <w:pPr>
        <w:pStyle w:val="Akapitzlist"/>
        <w:ind w:left="0"/>
        <w:jc w:val="both"/>
        <w:rPr>
          <w:sz w:val="24"/>
          <w:szCs w:val="24"/>
        </w:rPr>
      </w:pPr>
      <w:r w:rsidRPr="00242D02">
        <w:rPr>
          <w:sz w:val="24"/>
          <w:szCs w:val="24"/>
        </w:rPr>
        <w:t>Kable,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przewody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osłony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zainstalowane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wewnątrz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tunelu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242D02">
        <w:rPr>
          <w:sz w:val="24"/>
          <w:szCs w:val="24"/>
        </w:rPr>
        <w:t>stacji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metra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powinny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być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co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najmniej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klasy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reakcji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na</w:t>
      </w:r>
      <w:r w:rsidR="00FC4C62">
        <w:rPr>
          <w:sz w:val="24"/>
          <w:szCs w:val="24"/>
        </w:rPr>
        <w:t xml:space="preserve"> </w:t>
      </w:r>
      <w:r w:rsidRPr="00FC4C62">
        <w:rPr>
          <w:sz w:val="24"/>
          <w:szCs w:val="24"/>
        </w:rPr>
        <w:t>ogień</w:t>
      </w:r>
      <w:r w:rsid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B-s3,d0,a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produkty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ich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rozkładu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termicznego</w:t>
      </w:r>
      <w:r w:rsidR="00FC4C62" w:rsidRPr="00CC7C22">
        <w:rPr>
          <w:sz w:val="24"/>
          <w:szCs w:val="24"/>
        </w:rPr>
        <w:t xml:space="preserve"> </w:t>
      </w:r>
      <w:r w:rsidR="00656F92">
        <w:rPr>
          <w:sz w:val="24"/>
          <w:szCs w:val="24"/>
        </w:rPr>
        <w:t xml:space="preserve">                            </w:t>
      </w:r>
      <w:r w:rsidRPr="00CC7C22">
        <w:rPr>
          <w:sz w:val="24"/>
          <w:szCs w:val="24"/>
        </w:rPr>
        <w:t>o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kwasowości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mniejszej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niż</w:t>
      </w:r>
      <w:r w:rsidR="00FC4C62" w:rsidRPr="00CC7C22">
        <w:rPr>
          <w:sz w:val="24"/>
          <w:szCs w:val="24"/>
        </w:rPr>
        <w:t xml:space="preserve"> </w:t>
      </w:r>
      <w:r w:rsidR="00962FEB">
        <w:rPr>
          <w:sz w:val="24"/>
          <w:szCs w:val="24"/>
        </w:rPr>
        <w:t>pH</w:t>
      </w:r>
      <w:r w:rsidR="00FC4C62" w:rsidRPr="00CC7C22"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4,3</w:t>
      </w:r>
      <w:r w:rsidR="00CC7C22">
        <w:rPr>
          <w:sz w:val="24"/>
          <w:szCs w:val="24"/>
        </w:rPr>
        <w:t>.</w:t>
      </w:r>
    </w:p>
    <w:p w:rsidR="00CC7C22" w:rsidRPr="00CC7C22" w:rsidRDefault="00CC7C22" w:rsidP="00F62DEC">
      <w:pPr>
        <w:pStyle w:val="Akapitzlist"/>
        <w:ind w:left="1080"/>
        <w:rPr>
          <w:sz w:val="24"/>
          <w:szCs w:val="24"/>
        </w:rPr>
      </w:pPr>
    </w:p>
    <w:p w:rsidR="00CC7C22" w:rsidRPr="00656F92" w:rsidRDefault="00CC7C22" w:rsidP="00656F92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656F92">
        <w:rPr>
          <w:b/>
          <w:sz w:val="24"/>
          <w:szCs w:val="24"/>
        </w:rPr>
        <w:t xml:space="preserve">ROZPORZĄDZENIE KOMISJI (UE) NR 1303/2014 z dnia 18 listopada 2014 r. w sprawie technicznej specyfikacji interoperacyjności w zakresie aspektu „Bezpieczeństwo w tunelach kolejowych” systemu kolei w Unii Europejskiej </w:t>
      </w:r>
    </w:p>
    <w:p w:rsidR="00CC7C22" w:rsidRPr="00CC7C22" w:rsidRDefault="00CC7C22" w:rsidP="00440F6E">
      <w:pPr>
        <w:pStyle w:val="Akapitzlist"/>
        <w:ind w:left="0"/>
        <w:jc w:val="both"/>
        <w:rPr>
          <w:sz w:val="24"/>
          <w:szCs w:val="24"/>
        </w:rPr>
      </w:pPr>
      <w:r w:rsidRPr="00CC7C22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wypadek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pożaru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odkryte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kable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elektryczne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muszą</w:t>
      </w:r>
      <w:r>
        <w:rPr>
          <w:sz w:val="24"/>
          <w:szCs w:val="24"/>
        </w:rPr>
        <w:t xml:space="preserve">  </w:t>
      </w:r>
      <w:r w:rsidRPr="00CC7C22">
        <w:rPr>
          <w:sz w:val="24"/>
          <w:szCs w:val="24"/>
        </w:rPr>
        <w:t>charakteryzować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niską</w:t>
      </w:r>
      <w:r w:rsidR="00440F6E">
        <w:rPr>
          <w:sz w:val="24"/>
          <w:szCs w:val="24"/>
        </w:rPr>
        <w:t xml:space="preserve"> </w:t>
      </w:r>
      <w:r w:rsidR="00656F92">
        <w:rPr>
          <w:sz w:val="24"/>
          <w:szCs w:val="24"/>
        </w:rPr>
        <w:t>p</w:t>
      </w:r>
      <w:r w:rsidRPr="00CC7C22">
        <w:rPr>
          <w:sz w:val="24"/>
          <w:szCs w:val="24"/>
        </w:rPr>
        <w:t>alnością</w:t>
      </w:r>
      <w:r w:rsidR="00440F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niskim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stopniem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rozprzestrzeniania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ognia,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niską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toksycznością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niską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gęstością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wytwarzanego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dymu.</w:t>
      </w:r>
    </w:p>
    <w:p w:rsidR="00CC7C22" w:rsidRPr="00E37AF7" w:rsidRDefault="00CC7C22" w:rsidP="00656F92">
      <w:pPr>
        <w:pStyle w:val="Akapitzlist"/>
        <w:ind w:left="0"/>
        <w:rPr>
          <w:sz w:val="24"/>
          <w:szCs w:val="24"/>
        </w:rPr>
      </w:pPr>
      <w:r w:rsidRPr="00CC7C22">
        <w:rPr>
          <w:sz w:val="24"/>
          <w:szCs w:val="24"/>
        </w:rPr>
        <w:t>Wymagania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uznaje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spełnione,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kable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spełniają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minimum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wymagania</w:t>
      </w:r>
      <w:r>
        <w:rPr>
          <w:sz w:val="24"/>
          <w:szCs w:val="24"/>
        </w:rPr>
        <w:t xml:space="preserve"> </w:t>
      </w:r>
      <w:r w:rsidRPr="00CC7C22">
        <w:rPr>
          <w:sz w:val="24"/>
          <w:szCs w:val="24"/>
        </w:rPr>
        <w:t>klasy</w:t>
      </w:r>
      <w:r>
        <w:rPr>
          <w:sz w:val="24"/>
          <w:szCs w:val="24"/>
        </w:rPr>
        <w:t xml:space="preserve"> </w:t>
      </w:r>
      <w:r w:rsidRPr="00656F92">
        <w:rPr>
          <w:b/>
          <w:sz w:val="24"/>
          <w:szCs w:val="24"/>
        </w:rPr>
        <w:t>B2</w:t>
      </w:r>
      <w:r w:rsidR="00E37AF7" w:rsidRPr="00656F92">
        <w:rPr>
          <w:b/>
          <w:sz w:val="24"/>
          <w:szCs w:val="24"/>
        </w:rPr>
        <w:t>ca</w:t>
      </w:r>
      <w:r w:rsidRPr="00656F92">
        <w:rPr>
          <w:b/>
          <w:sz w:val="24"/>
          <w:szCs w:val="24"/>
        </w:rPr>
        <w:t>,s1a,a1</w:t>
      </w:r>
      <w:r w:rsidRPr="00E37AF7">
        <w:rPr>
          <w:sz w:val="24"/>
          <w:szCs w:val="24"/>
        </w:rPr>
        <w:t>,zgodnie</w:t>
      </w:r>
      <w:r w:rsidR="00E37AF7">
        <w:rPr>
          <w:sz w:val="24"/>
          <w:szCs w:val="24"/>
        </w:rPr>
        <w:t xml:space="preserve"> </w:t>
      </w:r>
      <w:r w:rsidRPr="00E37AF7">
        <w:rPr>
          <w:sz w:val="24"/>
          <w:szCs w:val="24"/>
        </w:rPr>
        <w:t>z</w:t>
      </w:r>
      <w:r w:rsidR="00E37AF7">
        <w:rPr>
          <w:sz w:val="24"/>
          <w:szCs w:val="24"/>
        </w:rPr>
        <w:t xml:space="preserve"> </w:t>
      </w:r>
      <w:r w:rsidRPr="00E37AF7">
        <w:rPr>
          <w:sz w:val="24"/>
          <w:szCs w:val="24"/>
        </w:rPr>
        <w:t>decyzją</w:t>
      </w:r>
      <w:r w:rsidR="00E37AF7">
        <w:rPr>
          <w:sz w:val="24"/>
          <w:szCs w:val="24"/>
        </w:rPr>
        <w:t xml:space="preserve"> </w:t>
      </w:r>
      <w:r w:rsidRPr="00E37AF7">
        <w:rPr>
          <w:sz w:val="24"/>
          <w:szCs w:val="24"/>
        </w:rPr>
        <w:t>Komisji</w:t>
      </w:r>
      <w:r w:rsidR="00E37AF7">
        <w:rPr>
          <w:sz w:val="24"/>
          <w:szCs w:val="24"/>
        </w:rPr>
        <w:t xml:space="preserve"> </w:t>
      </w:r>
      <w:r w:rsidRPr="00E37AF7">
        <w:rPr>
          <w:sz w:val="24"/>
          <w:szCs w:val="24"/>
        </w:rPr>
        <w:t>2006/751/EC.</w:t>
      </w:r>
    </w:p>
    <w:p w:rsidR="00A36447" w:rsidRPr="00B72E54" w:rsidRDefault="00656F92" w:rsidP="00440F6E">
      <w:pPr>
        <w:jc w:val="both"/>
        <w:rPr>
          <w:sz w:val="24"/>
          <w:szCs w:val="24"/>
        </w:rPr>
      </w:pPr>
      <w:r>
        <w:rPr>
          <w:sz w:val="24"/>
          <w:szCs w:val="24"/>
        </w:rPr>
        <w:t>Obowiązują te same zasady (badania i systemy certyfikacji oraz dokumenty, za które odpowiada producen</w:t>
      </w:r>
      <w:r w:rsidR="006A6B8C">
        <w:rPr>
          <w:sz w:val="24"/>
          <w:szCs w:val="24"/>
        </w:rPr>
        <w:t>t</w:t>
      </w:r>
      <w:r>
        <w:rPr>
          <w:sz w:val="24"/>
          <w:szCs w:val="24"/>
        </w:rPr>
        <w:t xml:space="preserve"> kabla ) jak w przypadku Rozporządzenia CPR</w:t>
      </w:r>
      <w:r w:rsidR="006A6B8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</w:p>
    <w:p w:rsidR="0079458E" w:rsidRDefault="0079458E" w:rsidP="00F62DEC">
      <w:pPr>
        <w:pStyle w:val="Akapitzlist"/>
        <w:ind w:left="1080"/>
        <w:rPr>
          <w:sz w:val="24"/>
          <w:szCs w:val="24"/>
        </w:rPr>
      </w:pPr>
    </w:p>
    <w:p w:rsidR="0079458E" w:rsidRDefault="0079458E" w:rsidP="00F62DE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Uwaga ogólna :</w:t>
      </w:r>
    </w:p>
    <w:p w:rsidR="0079458E" w:rsidRPr="0079458E" w:rsidRDefault="0079458E" w:rsidP="00F62DEC">
      <w:pPr>
        <w:rPr>
          <w:sz w:val="24"/>
          <w:szCs w:val="24"/>
        </w:rPr>
      </w:pPr>
      <w:r w:rsidRPr="0079458E">
        <w:rPr>
          <w:sz w:val="24"/>
          <w:szCs w:val="24"/>
        </w:rPr>
        <w:t>Nie można na ten sam produkt żądać okazania Deklaracji DWU oraz Deklaracji KDWU, bowiem deklaracje te dotyczą innych grup produktowych.</w:t>
      </w:r>
    </w:p>
    <w:p w:rsidR="00E37AF7" w:rsidRDefault="00E37AF7" w:rsidP="00F62DEC">
      <w:pPr>
        <w:pStyle w:val="Akapitzlist"/>
        <w:ind w:left="1080"/>
        <w:rPr>
          <w:sz w:val="24"/>
          <w:szCs w:val="24"/>
        </w:rPr>
      </w:pPr>
    </w:p>
    <w:p w:rsidR="00E37AF7" w:rsidRPr="00846B46" w:rsidRDefault="00E37AF7" w:rsidP="00846B46">
      <w:pPr>
        <w:pStyle w:val="Akapitzlist"/>
        <w:ind w:left="1080"/>
        <w:rPr>
          <w:sz w:val="24"/>
          <w:szCs w:val="24"/>
        </w:rPr>
      </w:pPr>
      <w:r w:rsidRPr="00E37AF7">
        <w:rPr>
          <w:sz w:val="24"/>
          <w:szCs w:val="24"/>
        </w:rPr>
        <w:t>O</w:t>
      </w:r>
      <w:r w:rsidRPr="00846B46">
        <w:rPr>
          <w:sz w:val="24"/>
          <w:szCs w:val="24"/>
        </w:rPr>
        <w:t xml:space="preserve">pracował </w:t>
      </w:r>
    </w:p>
    <w:p w:rsidR="00E37AF7" w:rsidRDefault="00E37AF7" w:rsidP="00F62DE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Janusz Nowastowski</w:t>
      </w:r>
    </w:p>
    <w:p w:rsidR="004C1295" w:rsidRDefault="00846B46" w:rsidP="00CF7E3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POLSKA IZBA GOSPODARCZA ELEKTROTECHNIKI</w:t>
      </w:r>
    </w:p>
    <w:p w:rsidR="00846B46" w:rsidRDefault="00846B46" w:rsidP="00CF7E33">
      <w:pPr>
        <w:pStyle w:val="Akapitzlist"/>
        <w:ind w:left="1080"/>
      </w:pPr>
      <w:r>
        <w:rPr>
          <w:sz w:val="24"/>
          <w:szCs w:val="24"/>
        </w:rPr>
        <w:t>ODDZIAŁ BYDGOSKI SEP</w:t>
      </w:r>
    </w:p>
    <w:sectPr w:rsidR="00846B46" w:rsidSect="008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D94"/>
    <w:multiLevelType w:val="hybridMultilevel"/>
    <w:tmpl w:val="C2D63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447EB"/>
    <w:multiLevelType w:val="hybridMultilevel"/>
    <w:tmpl w:val="81C297A8"/>
    <w:lvl w:ilvl="0" w:tplc="A2C8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82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AD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A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0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6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804ABF"/>
    <w:multiLevelType w:val="hybridMultilevel"/>
    <w:tmpl w:val="6BA877BA"/>
    <w:lvl w:ilvl="0" w:tplc="0415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4296C78"/>
    <w:multiLevelType w:val="hybridMultilevel"/>
    <w:tmpl w:val="2DE29884"/>
    <w:lvl w:ilvl="0" w:tplc="A628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A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20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2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44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3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6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2F692E"/>
    <w:multiLevelType w:val="hybridMultilevel"/>
    <w:tmpl w:val="D06A2BE6"/>
    <w:lvl w:ilvl="0" w:tplc="39EA2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95"/>
    <w:rsid w:val="000131C6"/>
    <w:rsid w:val="00033FA6"/>
    <w:rsid w:val="0005546A"/>
    <w:rsid w:val="000D2F2C"/>
    <w:rsid w:val="000E4964"/>
    <w:rsid w:val="001069A3"/>
    <w:rsid w:val="001B124E"/>
    <w:rsid w:val="001C7AA7"/>
    <w:rsid w:val="001D012C"/>
    <w:rsid w:val="00242D02"/>
    <w:rsid w:val="002956AA"/>
    <w:rsid w:val="003234BC"/>
    <w:rsid w:val="0032404B"/>
    <w:rsid w:val="004008D4"/>
    <w:rsid w:val="00440F6E"/>
    <w:rsid w:val="004C1295"/>
    <w:rsid w:val="005047B5"/>
    <w:rsid w:val="00512190"/>
    <w:rsid w:val="0052459F"/>
    <w:rsid w:val="00527ECA"/>
    <w:rsid w:val="00544943"/>
    <w:rsid w:val="005F6ED4"/>
    <w:rsid w:val="00650B18"/>
    <w:rsid w:val="00656F92"/>
    <w:rsid w:val="00663AED"/>
    <w:rsid w:val="006A6B8C"/>
    <w:rsid w:val="006C1088"/>
    <w:rsid w:val="006F1A87"/>
    <w:rsid w:val="007073B0"/>
    <w:rsid w:val="00727E60"/>
    <w:rsid w:val="007513D8"/>
    <w:rsid w:val="00770D17"/>
    <w:rsid w:val="0079458E"/>
    <w:rsid w:val="007A211B"/>
    <w:rsid w:val="007E37AA"/>
    <w:rsid w:val="00815987"/>
    <w:rsid w:val="00846B46"/>
    <w:rsid w:val="00846F8D"/>
    <w:rsid w:val="008D3B8D"/>
    <w:rsid w:val="008E25B7"/>
    <w:rsid w:val="00915F9B"/>
    <w:rsid w:val="00926296"/>
    <w:rsid w:val="00962FEB"/>
    <w:rsid w:val="00987C1F"/>
    <w:rsid w:val="00A3209F"/>
    <w:rsid w:val="00A36447"/>
    <w:rsid w:val="00A6577E"/>
    <w:rsid w:val="00A83000"/>
    <w:rsid w:val="00AC081A"/>
    <w:rsid w:val="00AC2645"/>
    <w:rsid w:val="00AD1056"/>
    <w:rsid w:val="00B72E54"/>
    <w:rsid w:val="00BF5A28"/>
    <w:rsid w:val="00C15127"/>
    <w:rsid w:val="00C32A8F"/>
    <w:rsid w:val="00C85F85"/>
    <w:rsid w:val="00C91321"/>
    <w:rsid w:val="00CC7C22"/>
    <w:rsid w:val="00CF7E33"/>
    <w:rsid w:val="00D5259F"/>
    <w:rsid w:val="00D620E4"/>
    <w:rsid w:val="00D93B6D"/>
    <w:rsid w:val="00DF6B21"/>
    <w:rsid w:val="00E0163F"/>
    <w:rsid w:val="00E21314"/>
    <w:rsid w:val="00E37AF7"/>
    <w:rsid w:val="00E6178D"/>
    <w:rsid w:val="00E725BC"/>
    <w:rsid w:val="00EF0EBD"/>
    <w:rsid w:val="00F0053F"/>
    <w:rsid w:val="00F50774"/>
    <w:rsid w:val="00F60EAE"/>
    <w:rsid w:val="00F62DEC"/>
    <w:rsid w:val="00FB21F7"/>
    <w:rsid w:val="00FB3032"/>
    <w:rsid w:val="00FC4C62"/>
    <w:rsid w:val="00FD407D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4C72-4798-4588-B13D-6C666CA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2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0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0E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B303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3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op.pl/swiadectwa_dopuszczenia" TargetMode="External"/><Relationship Id="rId5" Type="http://schemas.openxmlformats.org/officeDocument/2006/relationships/hyperlink" Target="https://pkn.pl/sites/default/files/sites/default/files/imce/files/dyrektywy/2014_35_U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Nowastowski</dc:creator>
  <cp:lastModifiedBy>Michał</cp:lastModifiedBy>
  <cp:revision>2</cp:revision>
  <dcterms:created xsi:type="dcterms:W3CDTF">2019-02-12T21:25:00Z</dcterms:created>
  <dcterms:modified xsi:type="dcterms:W3CDTF">2019-02-12T21:25:00Z</dcterms:modified>
</cp:coreProperties>
</file>